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bidi w:val="0"/>
        <w:spacing w:line="560" w:lineRule="exact"/>
        <w:ind w:left="0" w:leftChars="0" w:firstLine="0" w:firstLineChars="0"/>
        <w:textAlignment w:val="bottom"/>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keepNext w:val="0"/>
        <w:keepLines w:val="0"/>
        <w:pageBreakBefore w:val="0"/>
        <w:kinsoku/>
        <w:wordWrap/>
        <w:overflowPunct/>
        <w:topLinePunct w:val="0"/>
        <w:bidi w:val="0"/>
        <w:spacing w:line="560" w:lineRule="exact"/>
        <w:ind w:left="0" w:leftChars="0" w:firstLine="880" w:firstLineChars="200"/>
        <w:jc w:val="center"/>
        <w:textAlignment w:val="bottom"/>
        <w:rPr>
          <w:rFonts w:hint="eastAsia" w:ascii="方正小标宋简体" w:hAnsi="方正小标宋简体" w:eastAsia="方正小标宋简体" w:cs="方正小标宋简体"/>
          <w:sz w:val="44"/>
          <w:szCs w:val="44"/>
        </w:rPr>
      </w:pPr>
    </w:p>
    <w:p>
      <w:pPr>
        <w:jc w:val="center"/>
        <w:rPr>
          <w:rFonts w:hint="eastAsia" w:ascii="仿宋_GB2312" w:hAnsi="仿宋_GB2312" w:eastAsia="仿宋_GB2312" w:cs="仿宋_GB2312"/>
          <w:b/>
          <w:bCs/>
          <w:color w:val="auto"/>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河池市“十四五”县域普通高中发展</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提升行动计划实施方案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eastAsia="zh-CN"/>
        </w:rPr>
      </w:pPr>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eastAsia="zh-CN"/>
        </w:rPr>
        <w:t>（征求意见稿）</w:t>
      </w:r>
    </w:p>
    <w:p>
      <w:pPr>
        <w:ind w:firstLine="640" w:firstLineChars="200"/>
        <w:rPr>
          <w:rFonts w:hint="eastAsia" w:ascii="仿宋_GB2312" w:hAnsi="仿宋_GB2312" w:eastAsia="仿宋_GB2312" w:cs="仿宋_GB2312"/>
          <w:b w:val="0"/>
          <w:bCs w:val="0"/>
          <w:i w:val="0"/>
          <w:iCs w:val="0"/>
          <w:color w:val="auto"/>
          <w:sz w:val="32"/>
          <w:szCs w:val="32"/>
          <w:lang w:val="en-US" w:eastAsia="zh-CN"/>
        </w:rPr>
      </w:pPr>
    </w:p>
    <w:p>
      <w:pPr>
        <w:ind w:firstLine="640" w:firstLineChars="200"/>
        <w:rPr>
          <w:rFonts w:hint="default"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val="0"/>
          <w:bCs w:val="0"/>
          <w:i w:val="0"/>
          <w:iCs w:val="0"/>
          <w:color w:val="auto"/>
          <w:sz w:val="32"/>
          <w:szCs w:val="32"/>
          <w:lang w:val="en-US" w:eastAsia="zh-CN"/>
        </w:rPr>
        <w:t>注：文中未划线部分为国家、自治区文件的内容，划线部分为结合我市实际调整或新增的内容。</w:t>
      </w:r>
    </w:p>
    <w:p>
      <w:pP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lang w:val="en-US" w:eastAsia="zh-CN"/>
        </w:rPr>
        <w:t>县域普通高中(县级举办的普通高中,以下简称县中)在推进教育高质量发展和乡村振兴战略中承担着重要使命,寄托着广大农村学生对接受更好教育的美好期盼。为整体提升我市县中办学水平,更好适应高考综合改革和普通高中育人方式改革,</w:t>
      </w:r>
      <w:r>
        <w:rPr>
          <w:rFonts w:hint="eastAsia" w:ascii="仿宋_GB2312" w:hAnsi="仿宋_GB2312" w:eastAsia="仿宋_GB2312" w:cs="仿宋_GB2312"/>
          <w:b w:val="0"/>
          <w:bCs w:val="0"/>
          <w:i w:val="0"/>
          <w:caps w:val="0"/>
          <w:color w:val="auto"/>
          <w:spacing w:val="0"/>
          <w:sz w:val="32"/>
          <w:szCs w:val="32"/>
          <w:u w:val="single"/>
          <w:shd w:val="clear" w:color="auto" w:fill="FFFFFF"/>
          <w:vertAlign w:val="baseline"/>
        </w:rPr>
        <w:t>根据自治区教育厅等10部门关于印发《广西壮族自治区“十四五”县域普通高中发展提升行动计划实施方案》的通知，</w:t>
      </w:r>
      <w:r>
        <w:rPr>
          <w:rFonts w:hint="eastAsia" w:ascii="仿宋_GB2312" w:hAnsi="仿宋_GB2312" w:eastAsia="仿宋_GB2312" w:cs="仿宋_GB2312"/>
          <w:b w:val="0"/>
          <w:bCs w:val="0"/>
          <w:color w:val="auto"/>
          <w:sz w:val="32"/>
          <w:szCs w:val="32"/>
          <w:u w:val="single"/>
          <w:lang w:val="en-US" w:eastAsia="zh-CN"/>
        </w:rPr>
        <w:t>结合我市实际,特制定本实施方案。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一、指导思想</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auto"/>
          <w:spacing w:val="0"/>
          <w:sz w:val="32"/>
          <w:szCs w:val="32"/>
          <w:u w:val="single"/>
        </w:rPr>
      </w:pPr>
      <w:r>
        <w:rPr>
          <w:rFonts w:hint="eastAsia" w:ascii="仿宋_GB2312" w:hAnsi="仿宋_GB2312" w:eastAsia="仿宋_GB2312" w:cs="仿宋_GB2312"/>
          <w:b w:val="0"/>
          <w:bCs w:val="0"/>
          <w:color w:val="auto"/>
          <w:sz w:val="32"/>
          <w:szCs w:val="32"/>
          <w:lang w:val="en-US" w:eastAsia="zh-CN"/>
        </w:rPr>
        <w:t>以习近平新时代中国特色社会主义思想为指导,全面贯彻党的二十大精神,深入贯彻落实习近平总书记视察广西“4·27”重要讲话精神和对广西工作系列重要指示要求,</w:t>
      </w:r>
      <w:r>
        <w:rPr>
          <w:rFonts w:hint="eastAsia" w:ascii="仿宋_GB2312" w:hAnsi="仿宋_GB2312" w:eastAsia="仿宋_GB2312" w:cs="仿宋_GB2312"/>
          <w:b w:val="0"/>
          <w:bCs w:val="0"/>
          <w:i w:val="0"/>
          <w:caps w:val="0"/>
          <w:color w:val="auto"/>
          <w:spacing w:val="0"/>
          <w:sz w:val="32"/>
          <w:szCs w:val="32"/>
          <w:u w:val="single"/>
          <w:shd w:val="clear" w:color="auto" w:fill="FFFFFF"/>
        </w:rPr>
        <w:t>全面贯彻党的教育方针，落实立德树人根本任务，以推动教育高质量发展为核心，健全县中发展提升保障机制，整体提升县中办学水平，促进县中与城区普通高中协调发展，办好人民满意的教育，为我市</w:t>
      </w:r>
      <w:r>
        <w:rPr>
          <w:rFonts w:hint="eastAsia" w:ascii="仿宋_GB2312" w:hAnsi="仿宋_GB2312" w:eastAsia="仿宋_GB2312" w:cs="仿宋_GB2312"/>
          <w:b w:val="0"/>
          <w:bCs w:val="0"/>
          <w:color w:val="auto"/>
          <w:sz w:val="32"/>
          <w:szCs w:val="32"/>
          <w:u w:val="single"/>
          <w:lang w:val="en-US" w:eastAsia="zh-CN"/>
        </w:rPr>
        <w:t>加快</w:t>
      </w:r>
      <w:r>
        <w:rPr>
          <w:rFonts w:hint="eastAsia" w:ascii="仿宋_GB2312" w:hAnsi="仿宋_GB2312" w:eastAsia="仿宋_GB2312" w:cs="仿宋_GB2312"/>
          <w:b w:val="0"/>
          <w:bCs w:val="0"/>
          <w:color w:val="auto"/>
          <w:sz w:val="32"/>
          <w:szCs w:val="32"/>
          <w:u w:val="single"/>
        </w:rPr>
        <w:t>建设“六新河池”</w:t>
      </w:r>
      <w:r>
        <w:rPr>
          <w:rFonts w:hint="eastAsia" w:ascii="仿宋_GB2312" w:hAnsi="仿宋_GB2312" w:eastAsia="仿宋_GB2312" w:cs="仿宋_GB2312"/>
          <w:b w:val="0"/>
          <w:bCs w:val="0"/>
          <w:color w:val="auto"/>
          <w:sz w:val="32"/>
          <w:szCs w:val="32"/>
          <w:u w:val="single"/>
          <w:lang w:val="en-US" w:eastAsia="zh-CN"/>
        </w:rPr>
        <w:t>,</w:t>
      </w:r>
      <w:r>
        <w:rPr>
          <w:rFonts w:hint="eastAsia" w:ascii="仿宋_GB2312" w:hAnsi="仿宋_GB2312" w:eastAsia="仿宋_GB2312" w:cs="仿宋_GB2312"/>
          <w:b w:val="0"/>
          <w:bCs w:val="0"/>
          <w:i w:val="0"/>
          <w:caps w:val="0"/>
          <w:color w:val="auto"/>
          <w:spacing w:val="0"/>
          <w:sz w:val="32"/>
          <w:szCs w:val="32"/>
          <w:u w:val="single"/>
          <w:shd w:val="clear" w:color="auto" w:fill="FFFFFF"/>
        </w:rPr>
        <w:t>作出教育的更大贡献。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到2025年,县中整体办学水平显著提升,市域内县中和城区普通高中协调发展机制基本健全,统筹普通高中教育和中等职业教育发展,</w:t>
      </w:r>
      <w:r>
        <w:rPr>
          <w:rFonts w:hint="eastAsia" w:ascii="仿宋_GB2312" w:hAnsi="仿宋_GB2312" w:eastAsia="仿宋_GB2312" w:cs="仿宋_GB2312"/>
          <w:b w:val="0"/>
          <w:bCs w:val="0"/>
          <w:color w:val="auto"/>
          <w:sz w:val="32"/>
          <w:szCs w:val="32"/>
          <w:u w:val="single"/>
          <w:lang w:val="en-US" w:eastAsia="zh-CN"/>
        </w:rPr>
        <w:t>全市高中阶段毛入学率达到93%。</w:t>
      </w:r>
      <w:r>
        <w:rPr>
          <w:rFonts w:hint="eastAsia" w:ascii="仿宋_GB2312" w:hAnsi="仿宋_GB2312" w:eastAsia="仿宋_GB2312" w:cs="仿宋_GB2312"/>
          <w:b w:val="0"/>
          <w:bCs w:val="0"/>
          <w:color w:val="auto"/>
          <w:sz w:val="32"/>
          <w:szCs w:val="32"/>
          <w:lang w:val="en-US" w:eastAsia="zh-CN"/>
        </w:rPr>
        <w:t>普通高中招生全面规范,</w:t>
      </w:r>
      <w:r>
        <w:rPr>
          <w:rFonts w:hint="eastAsia" w:ascii="仿宋_GB2312" w:hAnsi="仿宋_GB2312" w:eastAsia="仿宋_GB2312" w:cs="仿宋_GB2312"/>
          <w:b w:val="0"/>
          <w:bCs w:val="0"/>
          <w:i w:val="0"/>
          <w:caps w:val="0"/>
          <w:color w:val="auto"/>
          <w:spacing w:val="0"/>
          <w:sz w:val="32"/>
          <w:szCs w:val="32"/>
          <w:u w:val="single"/>
          <w:shd w:val="clear" w:color="auto" w:fill="FFFFFF"/>
        </w:rPr>
        <w:t>县中生源流失</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现象</w:t>
      </w:r>
      <w:r>
        <w:rPr>
          <w:rFonts w:hint="eastAsia" w:ascii="仿宋_GB2312" w:hAnsi="仿宋_GB2312" w:eastAsia="仿宋_GB2312" w:cs="仿宋_GB2312"/>
          <w:b w:val="0"/>
          <w:bCs w:val="0"/>
          <w:i w:val="0"/>
          <w:caps w:val="0"/>
          <w:color w:val="auto"/>
          <w:spacing w:val="0"/>
          <w:sz w:val="32"/>
          <w:szCs w:val="32"/>
          <w:u w:val="single"/>
          <w:shd w:val="clear" w:color="auto" w:fill="FFFFFF"/>
        </w:rPr>
        <w:t>得到扭转</w:t>
      </w:r>
      <w:r>
        <w:rPr>
          <w:rFonts w:hint="eastAsia" w:ascii="仿宋_GB2312" w:hAnsi="仿宋_GB2312" w:eastAsia="仿宋_GB2312" w:cs="仿宋_GB2312"/>
          <w:b w:val="0"/>
          <w:bCs w:val="0"/>
          <w:color w:val="auto"/>
          <w:sz w:val="32"/>
          <w:szCs w:val="32"/>
          <w:u w:val="single"/>
          <w:lang w:val="en-US" w:eastAsia="zh-CN"/>
        </w:rPr>
        <w:t>,县中生源得到有效巩固;</w:t>
      </w:r>
      <w:r>
        <w:rPr>
          <w:rFonts w:hint="eastAsia" w:ascii="仿宋_GB2312" w:hAnsi="仿宋_GB2312" w:eastAsia="仿宋_GB2312" w:cs="仿宋_GB2312"/>
          <w:b w:val="0"/>
          <w:bCs w:val="0"/>
          <w:color w:val="auto"/>
          <w:sz w:val="32"/>
          <w:szCs w:val="32"/>
          <w:lang w:val="en-US" w:eastAsia="zh-CN"/>
        </w:rPr>
        <w:t>教师补充激励机制基本健全,县中党组织书记、校长和教师队伍建设明显加强,建成一支数量充足、结构合理、素质优良、相对稳定的县中教师队伍;教育经费投入机制基本健全,县中办学经费得到切实保障;薄弱县中办学条件显著改善,学校建设基本实现标准化,</w:t>
      </w:r>
      <w:r>
        <w:rPr>
          <w:rFonts w:hint="eastAsia" w:ascii="仿宋_GB2312" w:hAnsi="仿宋_GB2312" w:eastAsia="仿宋_GB2312" w:cs="仿宋_GB2312"/>
          <w:b w:val="0"/>
          <w:bCs w:val="0"/>
          <w:color w:val="auto"/>
          <w:sz w:val="32"/>
          <w:szCs w:val="32"/>
          <w:u w:val="single"/>
          <w:lang w:val="en-US" w:eastAsia="zh-CN"/>
        </w:rPr>
        <w:t>基本消除56人以上大班额</w:t>
      </w:r>
      <w:r>
        <w:rPr>
          <w:rFonts w:hint="eastAsia" w:ascii="仿宋_GB2312" w:hAnsi="仿宋_GB2312" w:eastAsia="仿宋_GB2312" w:cs="仿宋_GB2312"/>
          <w:b w:val="0"/>
          <w:bCs w:val="0"/>
          <w:color w:val="auto"/>
          <w:sz w:val="32"/>
          <w:szCs w:val="32"/>
          <w:u w:val="single"/>
          <w:lang w:val="en" w:eastAsia="zh-CN"/>
        </w:rPr>
        <w:t>,全面</w:t>
      </w:r>
      <w:r>
        <w:rPr>
          <w:rFonts w:hint="eastAsia" w:ascii="仿宋_GB2312" w:hAnsi="仿宋_GB2312" w:eastAsia="仿宋_GB2312" w:cs="仿宋_GB2312"/>
          <w:b w:val="0"/>
          <w:bCs w:val="0"/>
          <w:color w:val="auto"/>
          <w:sz w:val="32"/>
          <w:szCs w:val="32"/>
          <w:u w:val="single"/>
          <w:lang w:val="en-US" w:eastAsia="zh-CN"/>
        </w:rPr>
        <w:t>消除66人以上超大班额;</w:t>
      </w:r>
      <w:r>
        <w:rPr>
          <w:rFonts w:hint="eastAsia" w:ascii="仿宋_GB2312" w:hAnsi="仿宋_GB2312" w:eastAsia="仿宋_GB2312" w:cs="仿宋_GB2312"/>
          <w:b w:val="0"/>
          <w:bCs w:val="0"/>
          <w:color w:val="auto"/>
          <w:sz w:val="32"/>
          <w:szCs w:val="32"/>
          <w:lang w:val="en-US" w:eastAsia="zh-CN"/>
        </w:rPr>
        <w:t>课程改革教学改革成效显著,县中教育质量显著提高,普通高中高质量、多样化、特色化发展的新格局基本形成。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三、主要任务</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u w:val="none"/>
          <w:shd w:val="clear" w:color="auto" w:fill="FFFFFF"/>
          <w:lang w:val="en-US" w:eastAsia="zh-CN"/>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（一）规范招生及学籍管理</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val="0"/>
          <w:bCs w:val="0"/>
          <w:i w:val="0"/>
          <w:caps w:val="0"/>
          <w:color w:val="auto"/>
          <w:spacing w:val="0"/>
          <w:sz w:val="32"/>
          <w:szCs w:val="32"/>
          <w:u w:val="single"/>
        </w:rPr>
      </w:pPr>
      <w:r>
        <w:rPr>
          <w:rFonts w:hint="eastAsia" w:ascii="仿宋_GB2312" w:hAnsi="仿宋_GB2312" w:eastAsia="仿宋_GB2312" w:cs="仿宋_GB2312"/>
          <w:b/>
          <w:bCs/>
          <w:i w:val="0"/>
          <w:caps w:val="0"/>
          <w:color w:val="auto"/>
          <w:spacing w:val="0"/>
          <w:sz w:val="32"/>
          <w:szCs w:val="32"/>
          <w:u w:val="single"/>
          <w:shd w:val="clear" w:color="auto" w:fill="FFFFFF"/>
        </w:rPr>
        <w:t>1．完善招生管理制度。</w:t>
      </w:r>
      <w:r>
        <w:rPr>
          <w:rFonts w:hint="eastAsia" w:ascii="仿宋_GB2312" w:hAnsi="仿宋_GB2312" w:eastAsia="仿宋_GB2312" w:cs="仿宋_GB2312"/>
          <w:b w:val="0"/>
          <w:bCs w:val="0"/>
          <w:i w:val="0"/>
          <w:caps w:val="0"/>
          <w:color w:val="auto"/>
          <w:spacing w:val="0"/>
          <w:sz w:val="32"/>
          <w:szCs w:val="32"/>
          <w:u w:val="single"/>
          <w:shd w:val="clear" w:color="auto" w:fill="FFFFFF"/>
        </w:rPr>
        <w:t>全面落实基于初中学业水平考试成绩、结合综合素质评价的招生录取模式。公办、民办普通高中原则上实行属地招生。县（区）的普通高中在本县（区）域内招生，市</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直</w:t>
      </w:r>
      <w:r>
        <w:rPr>
          <w:rFonts w:hint="eastAsia" w:ascii="仿宋_GB2312" w:hAnsi="仿宋_GB2312" w:eastAsia="仿宋_GB2312" w:cs="仿宋_GB2312"/>
          <w:b w:val="0"/>
          <w:bCs w:val="0"/>
          <w:i w:val="0"/>
          <w:caps w:val="0"/>
          <w:color w:val="auto"/>
          <w:spacing w:val="0"/>
          <w:sz w:val="32"/>
          <w:szCs w:val="32"/>
          <w:u w:val="single"/>
          <w:shd w:val="clear" w:color="auto" w:fill="FFFFFF"/>
        </w:rPr>
        <w:t>属</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普通</w:t>
      </w:r>
      <w:r>
        <w:rPr>
          <w:rFonts w:hint="eastAsia" w:ascii="仿宋_GB2312" w:hAnsi="仿宋_GB2312" w:eastAsia="仿宋_GB2312" w:cs="仿宋_GB2312"/>
          <w:b w:val="0"/>
          <w:bCs w:val="0"/>
          <w:i w:val="0"/>
          <w:caps w:val="0"/>
          <w:color w:val="auto"/>
          <w:spacing w:val="0"/>
          <w:sz w:val="32"/>
          <w:szCs w:val="32"/>
          <w:u w:val="single"/>
          <w:shd w:val="clear" w:color="auto" w:fill="FFFFFF"/>
        </w:rPr>
        <w:t>高中在所</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辖</w:t>
      </w:r>
      <w:r>
        <w:rPr>
          <w:rFonts w:hint="eastAsia" w:ascii="仿宋_GB2312" w:hAnsi="仿宋_GB2312" w:eastAsia="仿宋_GB2312" w:cs="仿宋_GB2312"/>
          <w:b w:val="0"/>
          <w:bCs w:val="0"/>
          <w:i w:val="0"/>
          <w:caps w:val="0"/>
          <w:color w:val="auto"/>
          <w:spacing w:val="0"/>
          <w:sz w:val="32"/>
          <w:szCs w:val="32"/>
          <w:u w:val="single"/>
          <w:shd w:val="clear" w:color="auto" w:fill="FFFFFF"/>
        </w:rPr>
        <w:t>区</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内</w:t>
      </w:r>
      <w:r>
        <w:rPr>
          <w:rFonts w:hint="eastAsia" w:ascii="仿宋_GB2312" w:hAnsi="仿宋_GB2312" w:eastAsia="仿宋_GB2312" w:cs="仿宋_GB2312"/>
          <w:b w:val="0"/>
          <w:bCs w:val="0"/>
          <w:i w:val="0"/>
          <w:caps w:val="0"/>
          <w:color w:val="auto"/>
          <w:spacing w:val="0"/>
          <w:sz w:val="32"/>
          <w:szCs w:val="32"/>
          <w:u w:val="single"/>
          <w:shd w:val="clear" w:color="auto" w:fill="FFFFFF"/>
        </w:rPr>
        <w:t>若干</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县（</w:t>
      </w:r>
      <w:r>
        <w:rPr>
          <w:rFonts w:hint="eastAsia" w:ascii="仿宋_GB2312" w:hAnsi="仿宋_GB2312" w:eastAsia="仿宋_GB2312" w:cs="仿宋_GB2312"/>
          <w:b w:val="0"/>
          <w:bCs w:val="0"/>
          <w:i w:val="0"/>
          <w:caps w:val="0"/>
          <w:color w:val="auto"/>
          <w:spacing w:val="0"/>
          <w:sz w:val="32"/>
          <w:szCs w:val="32"/>
          <w:u w:val="single"/>
          <w:shd w:val="clear" w:color="auto" w:fill="FFFFFF"/>
        </w:rPr>
        <w:t>区</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u w:val="single"/>
          <w:shd w:val="clear" w:color="auto" w:fill="FFFFFF"/>
        </w:rPr>
        <w:t>招生。民办普通高中生源不足的，可由市教育局在辖区内统筹调剂安排招生计划。着力构建规范有序和监督有力的招生机制，坚决杜绝跨区域掐尖招生、争抢生源现象，防止县中生源流失，切实维护良好教育生态。实施跨区域指标到校招生录取的，指标主要分配到薄弱初中，并且需逐年减少跨区域分配指标，到2024年实现属地招生。完善优质普通高中指标到校招生办法，继续落实自治区示范性普通高中招生指标分配到辖区内初中学校的比例不低于50％的要求，并向薄弱初中倾斜。</w:t>
      </w:r>
      <w:r>
        <w:rPr>
          <w:rFonts w:hint="eastAsia" w:ascii="仿宋_GB2312" w:hAnsi="仿宋_GB2312" w:eastAsia="仿宋_GB2312" w:cs="仿宋_GB2312"/>
          <w:b/>
          <w:bCs/>
          <w:color w:val="auto"/>
          <w:sz w:val="32"/>
          <w:szCs w:val="32"/>
          <w:u w:val="single"/>
          <w:lang w:val="en-US" w:eastAsia="zh-CN"/>
        </w:rPr>
        <w:t>〔</w:t>
      </w:r>
      <w:r>
        <w:rPr>
          <w:rFonts w:hint="eastAsia" w:ascii="仿宋_GB2312" w:hAnsi="仿宋_GB2312" w:eastAsia="仿宋_GB2312" w:cs="仿宋_GB2312"/>
          <w:b/>
          <w:bCs/>
          <w:i w:val="0"/>
          <w:caps w:val="0"/>
          <w:color w:val="auto"/>
          <w:spacing w:val="0"/>
          <w:sz w:val="32"/>
          <w:szCs w:val="32"/>
          <w:u w:val="single"/>
          <w:shd w:val="clear" w:color="auto" w:fill="FFFFFF"/>
        </w:rPr>
        <w:t>责任单位：市教育局；排在首位的为牵头单位，下同；完成时限：2025年12月</w:t>
      </w:r>
      <w:r>
        <w:rPr>
          <w:rFonts w:hint="eastAsia" w:ascii="仿宋_GB2312" w:hAnsi="仿宋_GB2312" w:eastAsia="仿宋_GB2312" w:cs="仿宋_GB2312"/>
          <w:b/>
          <w:bCs/>
          <w:color w:val="auto"/>
          <w:sz w:val="32"/>
          <w:szCs w:val="32"/>
          <w:u w:val="single"/>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auto"/>
          <w:sz w:val="32"/>
          <w:szCs w:val="32"/>
          <w:u w:val="single"/>
          <w:lang w:val="en-US" w:eastAsia="zh-CN"/>
        </w:rPr>
      </w:pPr>
      <w:r>
        <w:rPr>
          <w:rFonts w:hint="eastAsia" w:ascii="仿宋_GB2312" w:hAnsi="仿宋_GB2312" w:eastAsia="仿宋_GB2312" w:cs="仿宋_GB2312"/>
          <w:b/>
          <w:bCs/>
          <w:i w:val="0"/>
          <w:caps w:val="0"/>
          <w:color w:val="auto"/>
          <w:spacing w:val="0"/>
          <w:sz w:val="32"/>
          <w:szCs w:val="32"/>
          <w:u w:val="single"/>
          <w:shd w:val="clear" w:color="auto" w:fill="FFFFFF"/>
        </w:rPr>
        <w:t>2．严格规范招生秩序。</w:t>
      </w:r>
      <w:r>
        <w:rPr>
          <w:rFonts w:hint="eastAsia" w:ascii="仿宋_GB2312" w:hAnsi="仿宋_GB2312" w:eastAsia="仿宋_GB2312" w:cs="仿宋_GB2312"/>
          <w:b w:val="0"/>
          <w:bCs w:val="0"/>
          <w:i w:val="0"/>
          <w:caps w:val="0"/>
          <w:color w:val="auto"/>
          <w:spacing w:val="0"/>
          <w:sz w:val="32"/>
          <w:szCs w:val="32"/>
          <w:u w:val="single"/>
          <w:shd w:val="clear" w:color="auto" w:fill="FFFFFF"/>
        </w:rPr>
        <w:t>对中考加分项目和分值进行清理和规范，全面取消体育、艺术、科技创新等加分项目。构建规范有序监督有力的招生机制，健全招生计划和录取比对机制，坚决杜绝违规跨区域掐尖招生，对违规跨区域招生的单位和学校依法依规严肃查处，稳定县中生源。严格学籍管理，严禁违规办理学生借读，严格转学审批。落实教育部“九个严禁　”招生纪律，维护良好教育生态。</w:t>
      </w:r>
      <w:r>
        <w:rPr>
          <w:rFonts w:hint="eastAsia" w:ascii="仿宋_GB2312" w:hAnsi="仿宋_GB2312" w:eastAsia="仿宋_GB2312" w:cs="仿宋_GB2312"/>
          <w:b/>
          <w:bCs/>
          <w:color w:val="auto"/>
          <w:sz w:val="32"/>
          <w:szCs w:val="32"/>
          <w:u w:val="single"/>
          <w:lang w:val="en-US" w:eastAsia="zh-CN"/>
        </w:rPr>
        <w:t>〔责任单位：市教育局；完成时限：2025年12月〕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u w:val="none"/>
          <w:shd w:val="clear" w:color="auto" w:fill="FFFFFF"/>
          <w:lang w:val="en-US" w:eastAsia="zh-CN"/>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（二）加强教师队伍建设</w:t>
      </w:r>
    </w:p>
    <w:p>
      <w:pPr>
        <w:keepNext w:val="0"/>
        <w:keepLines w:val="0"/>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仿宋_GB2312" w:hAnsi="仿宋_GB2312" w:eastAsia="仿宋_GB2312" w:cs="仿宋_GB2312"/>
          <w:b/>
          <w:bCs/>
          <w:color w:val="auto"/>
          <w:kern w:val="0"/>
          <w:sz w:val="32"/>
          <w:szCs w:val="32"/>
          <w:u w:val="single"/>
          <w:lang w:val="en-US" w:eastAsia="zh-CN" w:bidi="ar"/>
        </w:rPr>
      </w:pPr>
      <w:r>
        <w:rPr>
          <w:rFonts w:hint="eastAsia" w:ascii="仿宋_GB2312" w:hAnsi="仿宋_GB2312" w:eastAsia="仿宋_GB2312" w:cs="仿宋_GB2312"/>
          <w:b/>
          <w:bCs/>
          <w:i w:val="0"/>
          <w:caps w:val="0"/>
          <w:color w:val="auto"/>
          <w:spacing w:val="0"/>
          <w:kern w:val="0"/>
          <w:sz w:val="32"/>
          <w:szCs w:val="32"/>
          <w:u w:val="single"/>
          <w:shd w:val="clear" w:color="auto" w:fill="FFFFFF"/>
          <w:lang w:val="en-US" w:eastAsia="zh-CN" w:bidi="ar"/>
        </w:rPr>
        <w:t>1．优化教师编制配置。</w:t>
      </w:r>
      <w:r>
        <w:rPr>
          <w:rFonts w:hint="eastAsia" w:ascii="仿宋_GB2312" w:hAnsi="仿宋_GB2312" w:eastAsia="仿宋_GB2312" w:cs="仿宋_GB2312"/>
          <w:b w:val="0"/>
          <w:bCs w:val="0"/>
          <w:i w:val="0"/>
          <w:caps w:val="0"/>
          <w:color w:val="auto"/>
          <w:spacing w:val="0"/>
          <w:sz w:val="32"/>
          <w:szCs w:val="32"/>
          <w:u w:val="single"/>
          <w:shd w:val="clear" w:color="auto" w:fill="FFFFFF"/>
        </w:rPr>
        <w:t>严格执行中小学教职工编制标准，利用好自治区编制“周转池”制度，并根据高中布局调整、在校生规模变化等情况，按学年动态调整周转编制配备。以县（区）为单位健全完善教师资源统筹使用、动态调配的管理机制，根据考试招生制度改革、选课走班教学要求和学科教师结构变化，通过统筹师资调配、跨校兼课、教师走教等制度，优化教师资源配置，着力解决县中教师总量不足和结构性缺员问题。创新教研工作机制，配齐专职教研员，健全区域教研、联合教研、驻校教研等机制，加大教研员联系县中蹲点指导力度，遴选推广县中优秀教育教学案例</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，凝炼优秀教学成果</w:t>
      </w:r>
      <w:r>
        <w:rPr>
          <w:rFonts w:hint="eastAsia" w:ascii="仿宋_GB2312" w:hAnsi="仿宋_GB2312" w:eastAsia="仿宋_GB2312" w:cs="仿宋_GB2312"/>
          <w:b w:val="0"/>
          <w:bCs w:val="0"/>
          <w:i w:val="0"/>
          <w:caps w:val="0"/>
          <w:color w:val="auto"/>
          <w:spacing w:val="0"/>
          <w:sz w:val="32"/>
          <w:szCs w:val="32"/>
          <w:u w:val="single"/>
          <w:shd w:val="clear" w:color="auto" w:fill="FFFFFF"/>
        </w:rPr>
        <w:t>。</w:t>
      </w:r>
      <w:r>
        <w:rPr>
          <w:rFonts w:hint="eastAsia" w:ascii="仿宋_GB2312" w:hAnsi="仿宋_GB2312" w:eastAsia="仿宋_GB2312" w:cs="仿宋_GB2312"/>
          <w:b/>
          <w:bCs/>
          <w:color w:val="auto"/>
          <w:kern w:val="0"/>
          <w:sz w:val="32"/>
          <w:szCs w:val="32"/>
          <w:u w:val="single"/>
          <w:lang w:val="en-US" w:eastAsia="zh-CN" w:bidi="ar"/>
        </w:rPr>
        <w:t>〔责任单位：市教育局、市委编办、市人力资源社会保障局；完成时限：长期推进〕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u w:val="single"/>
          <w:lang w:val="en-US" w:eastAsia="zh-CN" w:bidi="ar"/>
        </w:rPr>
      </w:pPr>
      <w:r>
        <w:rPr>
          <w:rFonts w:hint="eastAsia" w:ascii="仿宋_GB2312" w:hAnsi="仿宋_GB2312" w:eastAsia="仿宋_GB2312" w:cs="仿宋_GB2312"/>
          <w:b/>
          <w:bCs/>
          <w:i w:val="0"/>
          <w:caps w:val="0"/>
          <w:color w:val="auto"/>
          <w:spacing w:val="0"/>
          <w:kern w:val="0"/>
          <w:sz w:val="32"/>
          <w:szCs w:val="32"/>
          <w:u w:val="single"/>
          <w:shd w:val="clear" w:color="auto" w:fill="FFFFFF"/>
          <w:lang w:val="en-US" w:eastAsia="zh-CN" w:bidi="ar"/>
        </w:rPr>
        <w:t>2．健全教师激励机制。</w:t>
      </w:r>
      <w:r>
        <w:rPr>
          <w:rFonts w:hint="eastAsia" w:ascii="仿宋_GB2312" w:hAnsi="仿宋_GB2312" w:cs="仿宋_GB2312"/>
          <w:b w:val="0"/>
          <w:bCs w:val="0"/>
          <w:i w:val="0"/>
          <w:caps w:val="0"/>
          <w:color w:val="auto"/>
          <w:spacing w:val="0"/>
          <w:sz w:val="32"/>
          <w:szCs w:val="32"/>
          <w:u w:val="single"/>
          <w:shd w:val="clear" w:color="auto" w:fill="FFFFFF"/>
          <w:lang w:eastAsia="zh-CN"/>
        </w:rPr>
        <w:t>根据自治区政策规定，</w:t>
      </w:r>
      <w:r>
        <w:rPr>
          <w:rFonts w:hint="eastAsia" w:ascii="仿宋_GB2312" w:hAnsi="仿宋_GB2312" w:eastAsia="仿宋_GB2312" w:cs="仿宋_GB2312"/>
          <w:b w:val="0"/>
          <w:bCs w:val="0"/>
          <w:i w:val="0"/>
          <w:caps w:val="0"/>
          <w:color w:val="auto"/>
          <w:spacing w:val="0"/>
          <w:sz w:val="32"/>
          <w:szCs w:val="32"/>
          <w:u w:val="single"/>
          <w:shd w:val="clear" w:color="auto" w:fill="FFFFFF"/>
        </w:rPr>
        <w:t>适当提高中小学中级、高级教师岗位比例,中高级教师岗位设置适当向县中倾斜。完善绩效工资管理办法，合理核定县中绩效工资总量，绩效工资内部分配向优秀人才倾斜。鼓励县（区）符合条件的县中优秀人才按规定申报各类人才项目和人才计划，对入选者按规定给予相应保障。</w:t>
      </w:r>
      <w:r>
        <w:rPr>
          <w:rFonts w:hint="eastAsia" w:ascii="仿宋_GB2312" w:hAnsi="仿宋_GB2312" w:eastAsia="仿宋_GB2312" w:cs="仿宋_GB2312"/>
          <w:b/>
          <w:bCs/>
          <w:color w:val="auto"/>
          <w:kern w:val="0"/>
          <w:sz w:val="32"/>
          <w:szCs w:val="32"/>
          <w:u w:val="single"/>
          <w:lang w:val="en-US" w:eastAsia="zh-CN" w:bidi="ar"/>
        </w:rPr>
        <w:t>〔责任单位：市教育局、市委组织部、市财政局、市人力资源社会保障局；完成时限：2025年12月〕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u w:val="single"/>
          <w:lang w:val="en-US" w:eastAsia="zh-CN" w:bidi="ar"/>
        </w:rPr>
      </w:pPr>
      <w:r>
        <w:rPr>
          <w:rFonts w:hint="eastAsia" w:ascii="仿宋_GB2312" w:hAnsi="仿宋_GB2312" w:eastAsia="仿宋_GB2312" w:cs="仿宋_GB2312"/>
          <w:b/>
          <w:bCs/>
          <w:i w:val="0"/>
          <w:caps w:val="0"/>
          <w:color w:val="auto"/>
          <w:spacing w:val="0"/>
          <w:kern w:val="0"/>
          <w:sz w:val="32"/>
          <w:szCs w:val="32"/>
          <w:u w:val="single"/>
          <w:shd w:val="clear" w:color="auto" w:fill="FFFFFF"/>
          <w:lang w:val="en-US" w:eastAsia="zh-CN" w:bidi="ar"/>
        </w:rPr>
        <w:t>3．严格规范教师管理。</w:t>
      </w:r>
      <w:r>
        <w:rPr>
          <w:rFonts w:hint="eastAsia" w:ascii="仿宋_GB2312" w:hAnsi="仿宋_GB2312" w:eastAsia="仿宋_GB2312" w:cs="仿宋_GB2312"/>
          <w:b w:val="0"/>
          <w:bCs w:val="0"/>
          <w:i w:val="0"/>
          <w:caps w:val="0"/>
          <w:color w:val="auto"/>
          <w:spacing w:val="0"/>
          <w:sz w:val="32"/>
          <w:szCs w:val="32"/>
          <w:u w:val="single"/>
          <w:shd w:val="clear" w:color="auto" w:fill="FFFFFF"/>
        </w:rPr>
        <w:t>不得挤占、挪用县中教职工编制或长期借用县中教师，严禁有关部门（单位）未经批准借调县中教职工。严禁公办学校教师在民办学校任教，已派出的要于2023年</w:t>
      </w:r>
      <w:r>
        <w:rPr>
          <w:rFonts w:hint="eastAsia" w:ascii="仿宋_GB2312" w:hAnsi="仿宋_GB2312" w:eastAsia="仿宋_GB2312" w:cs="仿宋_GB2312"/>
          <w:b w:val="0"/>
          <w:bCs w:val="0"/>
          <w:i w:val="0"/>
          <w:caps w:val="0"/>
          <w:color w:val="auto"/>
          <w:spacing w:val="0"/>
          <w:sz w:val="32"/>
          <w:szCs w:val="32"/>
          <w:u w:val="single"/>
          <w:shd w:val="clear" w:color="auto" w:fill="FFFFFF"/>
          <w:lang w:val="en-US" w:eastAsia="zh-CN"/>
        </w:rPr>
        <w:t>12</w:t>
      </w:r>
      <w:r>
        <w:rPr>
          <w:rFonts w:hint="eastAsia" w:ascii="仿宋_GB2312" w:hAnsi="仿宋_GB2312" w:eastAsia="仿宋_GB2312" w:cs="仿宋_GB2312"/>
          <w:b w:val="0"/>
          <w:bCs w:val="0"/>
          <w:i w:val="0"/>
          <w:caps w:val="0"/>
          <w:color w:val="auto"/>
          <w:spacing w:val="0"/>
          <w:sz w:val="32"/>
          <w:szCs w:val="32"/>
          <w:u w:val="single"/>
          <w:shd w:val="clear" w:color="auto" w:fill="FFFFFF"/>
        </w:rPr>
        <w:t>月底前完成整改。严禁恶意抢挖县中优秀校长和教师。严格按照国家有关规定和程序办理教师流动手续，严禁</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发达地区</w:t>
      </w:r>
      <w:r>
        <w:rPr>
          <w:rFonts w:hint="eastAsia" w:ascii="仿宋_GB2312" w:hAnsi="仿宋_GB2312" w:eastAsia="仿宋_GB2312" w:cs="仿宋_GB2312"/>
          <w:b w:val="0"/>
          <w:bCs w:val="0"/>
          <w:i w:val="0"/>
          <w:caps w:val="0"/>
          <w:color w:val="auto"/>
          <w:spacing w:val="0"/>
          <w:sz w:val="32"/>
          <w:szCs w:val="32"/>
          <w:u w:val="single"/>
          <w:shd w:val="clear" w:color="auto" w:fill="FFFFFF"/>
        </w:rPr>
        <w:t>学校到县中抢挖优秀校长和教师，对于未经当地组织人事部门和教育行政部门同意，从县中抢挖服务期内教师人才的，停止学校各类评优评先资格，并追究相关责任人责任。</w:t>
      </w:r>
      <w:r>
        <w:rPr>
          <w:rFonts w:hint="eastAsia" w:ascii="仿宋_GB2312" w:hAnsi="仿宋_GB2312" w:eastAsia="仿宋_GB2312" w:cs="仿宋_GB2312"/>
          <w:b/>
          <w:bCs/>
          <w:color w:val="auto"/>
          <w:kern w:val="0"/>
          <w:sz w:val="32"/>
          <w:szCs w:val="32"/>
          <w:u w:val="single"/>
          <w:lang w:val="en-US" w:eastAsia="zh-CN" w:bidi="ar"/>
        </w:rPr>
        <w:t>〔责任单位：市教育局、市委组织部、市委编办、市财政局、市人力资源社会保障局；完成时限：2023年6月〕</w:t>
      </w:r>
    </w:p>
    <w:p>
      <w:pPr>
        <w:rPr>
          <w:rFonts w:hint="eastAsia" w:ascii="仿宋_GB2312" w:hAnsi="仿宋_GB2312" w:eastAsia="仿宋_GB2312" w:cs="仿宋_GB2312"/>
          <w:b/>
          <w:bCs/>
          <w:color w:val="auto"/>
          <w:kern w:val="0"/>
          <w:sz w:val="32"/>
          <w:szCs w:val="32"/>
          <w:u w:val="single"/>
          <w:lang w:val="en-US" w:eastAsia="zh-CN" w:bidi="ar"/>
        </w:rPr>
      </w:pPr>
      <w:r>
        <w:rPr>
          <w:rFonts w:hint="eastAsia" w:ascii="仿宋_GB2312" w:hAnsi="仿宋_GB2312" w:eastAsia="仿宋_GB2312" w:cs="仿宋_GB2312"/>
          <w:b/>
          <w:bCs/>
          <w:i w:val="0"/>
          <w:caps w:val="0"/>
          <w:color w:val="auto"/>
          <w:spacing w:val="0"/>
          <w:kern w:val="0"/>
          <w:sz w:val="32"/>
          <w:szCs w:val="32"/>
          <w:u w:val="single"/>
          <w:shd w:val="clear" w:color="auto" w:fill="FFFFFF"/>
          <w:lang w:val="en-US" w:eastAsia="zh-CN" w:bidi="ar"/>
        </w:rPr>
        <w:t>4．提高教师素养。</w:t>
      </w:r>
      <w:r>
        <w:rPr>
          <w:rFonts w:hint="eastAsia" w:ascii="仿宋_GB2312" w:hAnsi="仿宋_GB2312" w:eastAsia="仿宋_GB2312" w:cs="仿宋_GB2312"/>
          <w:b w:val="0"/>
          <w:bCs w:val="0"/>
          <w:i w:val="0"/>
          <w:caps w:val="0"/>
          <w:color w:val="auto"/>
          <w:spacing w:val="0"/>
          <w:sz w:val="32"/>
          <w:szCs w:val="32"/>
          <w:u w:val="single"/>
          <w:shd w:val="clear" w:color="auto" w:fill="FFFFFF"/>
        </w:rPr>
        <w:t>加强师德师风建设，</w:t>
      </w:r>
      <w:r>
        <w:rPr>
          <w:rFonts w:hint="eastAsia" w:ascii="仿宋_GB2312" w:hAnsi="仿宋_GB2312" w:eastAsia="仿宋_GB2312" w:cs="仿宋_GB2312"/>
          <w:b w:val="0"/>
          <w:bCs w:val="0"/>
          <w:sz w:val="32"/>
          <w:szCs w:val="32"/>
          <w:u w:val="single"/>
        </w:rPr>
        <w:t>大力弘扬心有大我、至诚报国的理想信念，言为士则、行为世范的道德情操，启智润心、因材施教的育人智慧，勤学笃行、求是创新的躬耕态度，乐教爱生、甘于奉献的仁爱之心，胸怀天下、以文化人的弘道追求</w:t>
      </w:r>
      <w:r>
        <w:rPr>
          <w:rFonts w:hint="eastAsia" w:ascii="仿宋_GB2312" w:hAnsi="仿宋_GB2312" w:eastAsia="仿宋_GB2312" w:cs="仿宋_GB2312"/>
          <w:b w:val="0"/>
          <w:bCs w:val="0"/>
          <w:sz w:val="32"/>
          <w:szCs w:val="32"/>
          <w:u w:val="single"/>
          <w:lang w:eastAsia="zh-CN"/>
        </w:rPr>
        <w:t>的</w:t>
      </w:r>
      <w:r>
        <w:rPr>
          <w:rFonts w:hint="eastAsia" w:ascii="仿宋_GB2312" w:hAnsi="仿宋_GB2312" w:eastAsia="仿宋_GB2312" w:cs="仿宋_GB2312"/>
          <w:b w:val="0"/>
          <w:bCs w:val="0"/>
          <w:sz w:val="32"/>
          <w:szCs w:val="32"/>
          <w:u w:val="single"/>
        </w:rPr>
        <w:t>教育家精神，牢记为党育人、为国育才的初心使命，树立“躬耕教坛、强国有我”的志向和抱负，</w:t>
      </w:r>
      <w:r>
        <w:rPr>
          <w:rFonts w:hint="eastAsia" w:ascii="仿宋_GB2312" w:hAnsi="仿宋_GB2312" w:eastAsia="仿宋_GB2312" w:cs="仿宋_GB2312"/>
          <w:b w:val="0"/>
          <w:bCs w:val="0"/>
          <w:i w:val="0"/>
          <w:caps w:val="0"/>
          <w:color w:val="auto"/>
          <w:spacing w:val="0"/>
          <w:sz w:val="32"/>
          <w:szCs w:val="32"/>
          <w:u w:val="single"/>
          <w:shd w:val="clear" w:color="auto" w:fill="FFFFFF"/>
        </w:rPr>
        <w:t>切实增强教师教书育人的使命感和责任感。落实新时代中小学教师职业行为十项准则，发挥师德考核对教师行为的约束和提醒作用。组建普通高中名校长工作室和名师工作室。加强校长队伍建设，选优配强县中校长。以县（区）为单位，建立县中校长后备人才库。加强教师培训，开展县中教师全员培训，组织参加自治区普通高中“新课程领航计划”，加强高考综合改革、新课程新教材实施、评价改革、信息技术融合、教学成果推广等方面的培训，不断提高校长办学治校能力和教师教育教学水平。</w:t>
      </w:r>
      <w:r>
        <w:rPr>
          <w:rFonts w:hint="eastAsia" w:ascii="仿宋_GB2312" w:hAnsi="仿宋_GB2312" w:eastAsia="仿宋_GB2312" w:cs="仿宋_GB2312"/>
          <w:b/>
          <w:bCs/>
          <w:color w:val="auto"/>
          <w:kern w:val="0"/>
          <w:sz w:val="32"/>
          <w:szCs w:val="32"/>
          <w:u w:val="single"/>
          <w:lang w:val="en-US" w:eastAsia="zh-CN" w:bidi="ar"/>
        </w:rPr>
        <w:t>〔责任单位：市教育局、市财政局、市人力资源社会保障局；完成时限：2025年12月〕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u w:val="none"/>
          <w:shd w:val="clear" w:color="auto" w:fill="FFFFFF"/>
          <w:lang w:val="en-US" w:eastAsia="zh-CN"/>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(三)实施普通高中对口帮扶计划。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kern w:val="0"/>
          <w:sz w:val="32"/>
          <w:szCs w:val="32"/>
          <w:u w:val="single"/>
          <w:lang w:val="en-US" w:eastAsia="zh-CN" w:bidi="ar"/>
        </w:rPr>
      </w:pPr>
      <w:r>
        <w:rPr>
          <w:rFonts w:hint="eastAsia" w:ascii="仿宋_GB2312" w:hAnsi="仿宋_GB2312" w:eastAsia="仿宋_GB2312" w:cs="仿宋_GB2312"/>
          <w:b w:val="0"/>
          <w:bCs w:val="0"/>
          <w:color w:val="auto"/>
          <w:sz w:val="32"/>
          <w:szCs w:val="32"/>
          <w:u w:val="single"/>
          <w:lang w:val="en-US" w:eastAsia="zh-CN"/>
        </w:rPr>
        <w:t>推进北京师范大学、复旦大学2所部属高校与大化瑶族自治县高级中学、都安瑶族自治县高级中学建立</w:t>
      </w:r>
      <w:r>
        <w:rPr>
          <w:rFonts w:hint="eastAsia" w:ascii="仿宋_GB2312" w:hAnsi="仿宋_GB2312" w:eastAsia="仿宋_GB2312" w:cs="仿宋_GB2312"/>
          <w:b w:val="0"/>
          <w:bCs w:val="0"/>
          <w:color w:val="auto"/>
          <w:sz w:val="32"/>
          <w:szCs w:val="32"/>
          <w:lang w:val="en-US" w:eastAsia="zh-CN"/>
        </w:rPr>
        <w:t>“托管式”帮扶</w:t>
      </w:r>
      <w:r>
        <w:rPr>
          <w:rFonts w:hint="eastAsia" w:ascii="仿宋_GB2312" w:hAnsi="仿宋_GB2312" w:eastAsia="仿宋_GB2312" w:cs="仿宋_GB2312"/>
          <w:b w:val="0"/>
          <w:bCs w:val="0"/>
          <w:color w:val="auto"/>
          <w:sz w:val="32"/>
          <w:szCs w:val="32"/>
          <w:u w:val="single"/>
          <w:lang w:val="en-US" w:eastAsia="zh-CN"/>
        </w:rPr>
        <w:t>关系,发挥示范引领作用。</w:t>
      </w:r>
      <w:r>
        <w:rPr>
          <w:rFonts w:hint="eastAsia" w:ascii="仿宋_GB2312" w:hAnsi="仿宋_GB2312" w:eastAsia="仿宋_GB2312" w:cs="仿宋_GB2312"/>
          <w:b w:val="0"/>
          <w:bCs w:val="0"/>
          <w:color w:val="auto"/>
          <w:sz w:val="32"/>
          <w:szCs w:val="32"/>
          <w:lang w:val="en-US" w:eastAsia="zh-CN"/>
        </w:rPr>
        <w:t>推进国家乡村振兴重点帮扶县教育人才“组团式”帮扶,</w:t>
      </w:r>
      <w:r>
        <w:rPr>
          <w:rFonts w:hint="eastAsia" w:ascii="仿宋_GB2312" w:hAnsi="仿宋_GB2312" w:eastAsia="仿宋_GB2312" w:cs="仿宋_GB2312"/>
          <w:b w:val="0"/>
          <w:bCs w:val="0"/>
          <w:color w:val="auto"/>
          <w:sz w:val="32"/>
          <w:szCs w:val="32"/>
          <w:u w:val="single"/>
          <w:lang w:val="en-US" w:eastAsia="zh-CN"/>
        </w:rPr>
        <w:t>广东省帮助我市7个国家乡村振兴重点帮扶县建好7所县中</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u w:val="single"/>
          <w:lang w:val="en-US" w:eastAsia="zh-CN"/>
        </w:rPr>
        <w:t>落实自治区优质学校与县中“对口式”帮扶项目,遴选我市优质普通高中和本科高校帮扶薄弱县中,通过联合办学、对口支援等方式开展帮扶。开展市域普通高中“协同式”帮扶,以设县（区）为单位构建优质高中与薄弱县中协同发展机制,结合实际采取托管、挂牌、办分校、人员互派、联合教研、共享资源等方式,每所自治区示范性普通高中原则上帮扶1所薄弱县中。</w:t>
      </w:r>
      <w:r>
        <w:rPr>
          <w:rFonts w:hint="eastAsia" w:ascii="仿宋_GB2312" w:hAnsi="仿宋_GB2312" w:eastAsia="仿宋_GB2312" w:cs="仿宋_GB2312"/>
          <w:b w:val="0"/>
          <w:bCs w:val="0"/>
          <w:i w:val="0"/>
          <w:caps w:val="0"/>
          <w:color w:val="auto"/>
          <w:spacing w:val="0"/>
          <w:sz w:val="32"/>
          <w:szCs w:val="32"/>
          <w:u w:val="single"/>
          <w:shd w:val="clear" w:color="auto" w:fill="FFFFFF"/>
        </w:rPr>
        <w:t>各县（区）教育局将辖区内自治区示范性普通高中与一般高中对口帮扶名单报市教育局</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备案</w:t>
      </w:r>
      <w:r>
        <w:rPr>
          <w:rFonts w:hint="eastAsia" w:ascii="仿宋_GB2312" w:hAnsi="仿宋_GB2312" w:eastAsia="仿宋_GB2312" w:cs="仿宋_GB2312"/>
          <w:b w:val="0"/>
          <w:bCs w:val="0"/>
          <w:i w:val="0"/>
          <w:caps w:val="0"/>
          <w:color w:val="auto"/>
          <w:spacing w:val="0"/>
          <w:sz w:val="32"/>
          <w:szCs w:val="32"/>
          <w:u w:val="single"/>
          <w:shd w:val="clear" w:color="auto" w:fill="FFFFFF"/>
        </w:rPr>
        <w:t>。</w:t>
      </w:r>
      <w:r>
        <w:rPr>
          <w:rFonts w:hint="eastAsia" w:ascii="仿宋_GB2312" w:hAnsi="仿宋_GB2312" w:eastAsia="仿宋_GB2312" w:cs="仿宋_GB2312"/>
          <w:b w:val="0"/>
          <w:bCs w:val="0"/>
          <w:color w:val="auto"/>
          <w:sz w:val="32"/>
          <w:szCs w:val="32"/>
          <w:lang w:val="en-US" w:eastAsia="zh-CN"/>
        </w:rPr>
        <w:t>按照国家有关规定,对在帮扶工作中表现突出的学校、团队和个人给予表彰奖励。县政府可给予帮扶学校一定管理费,将支持县中发展作为高校服务地方经济社会发展的重要内容。帮扶学校不得收取“品牌费”。</w:t>
      </w:r>
      <w:r>
        <w:rPr>
          <w:rFonts w:hint="eastAsia" w:ascii="仿宋_GB2312" w:hAnsi="仿宋_GB2312" w:eastAsia="仿宋_GB2312" w:cs="仿宋_GB2312"/>
          <w:b/>
          <w:bCs/>
          <w:color w:val="auto"/>
          <w:kern w:val="0"/>
          <w:sz w:val="32"/>
          <w:szCs w:val="32"/>
          <w:u w:val="single"/>
          <w:lang w:val="en-US" w:eastAsia="zh-CN" w:bidi="ar"/>
        </w:rPr>
        <w:t>〔责任单位:市教育局,市委组织部;完成时限:2025年12月〕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u w:val="none"/>
          <w:shd w:val="clear" w:color="auto" w:fill="FFFFFF"/>
          <w:lang w:val="en-US" w:eastAsia="zh-CN"/>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(四)提升教育教学质量。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val="0"/>
          <w:bCs w:val="0"/>
          <w:i w:val="0"/>
          <w:caps w:val="0"/>
          <w:color w:val="auto"/>
          <w:spacing w:val="0"/>
          <w:sz w:val="32"/>
          <w:szCs w:val="32"/>
          <w:u w:val="single"/>
        </w:rPr>
      </w:pPr>
      <w:r>
        <w:rPr>
          <w:rFonts w:hint="eastAsia" w:ascii="仿宋_GB2312" w:hAnsi="仿宋_GB2312" w:eastAsia="仿宋_GB2312" w:cs="仿宋_GB2312"/>
          <w:b/>
          <w:bCs/>
          <w:i w:val="0"/>
          <w:caps w:val="0"/>
          <w:color w:val="auto"/>
          <w:spacing w:val="0"/>
          <w:sz w:val="32"/>
          <w:szCs w:val="32"/>
          <w:u w:val="single"/>
          <w:shd w:val="clear" w:color="auto" w:fill="FFFFFF"/>
          <w:lang w:val="en-US" w:eastAsia="zh-CN"/>
        </w:rPr>
        <w:t xml:space="preserve"> </w:t>
      </w:r>
      <w:r>
        <w:rPr>
          <w:rFonts w:hint="eastAsia" w:ascii="仿宋_GB2312" w:hAnsi="仿宋_GB2312" w:eastAsia="仿宋_GB2312" w:cs="仿宋_GB2312"/>
          <w:b/>
          <w:bCs/>
          <w:i w:val="0"/>
          <w:caps w:val="0"/>
          <w:color w:val="auto"/>
          <w:spacing w:val="0"/>
          <w:sz w:val="32"/>
          <w:szCs w:val="32"/>
          <w:u w:val="single"/>
          <w:shd w:val="clear" w:color="auto" w:fill="FFFFFF"/>
        </w:rPr>
        <w:t>1．深入推进课程改革。</w:t>
      </w:r>
      <w:r>
        <w:rPr>
          <w:rFonts w:hint="eastAsia" w:ascii="仿宋_GB2312" w:hAnsi="仿宋_GB2312" w:eastAsia="仿宋_GB2312" w:cs="仿宋_GB2312"/>
          <w:b w:val="0"/>
          <w:bCs w:val="0"/>
          <w:i w:val="0"/>
          <w:caps w:val="0"/>
          <w:color w:val="auto"/>
          <w:spacing w:val="0"/>
          <w:sz w:val="32"/>
          <w:szCs w:val="32"/>
          <w:u w:val="single"/>
          <w:shd w:val="clear" w:color="auto" w:fill="FFFFFF"/>
        </w:rPr>
        <w:t>深入推进普通高中课程改革和高考综合改革，全面实施新课程、使用新教材。构建规范有序、科学高效的选课走班运行机制，满足学生个性发展需要。（责任单位：市教育局；完成时限：长期推进）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val="0"/>
          <w:bCs w:val="0"/>
          <w:i w:val="0"/>
          <w:caps w:val="0"/>
          <w:color w:val="auto"/>
          <w:spacing w:val="0"/>
          <w:sz w:val="32"/>
          <w:szCs w:val="32"/>
          <w:u w:val="single"/>
        </w:rPr>
      </w:pPr>
      <w:r>
        <w:rPr>
          <w:rFonts w:hint="eastAsia" w:ascii="仿宋_GB2312" w:hAnsi="仿宋_GB2312" w:eastAsia="仿宋_GB2312" w:cs="仿宋_GB2312"/>
          <w:b/>
          <w:bCs/>
          <w:i w:val="0"/>
          <w:caps w:val="0"/>
          <w:color w:val="auto"/>
          <w:spacing w:val="0"/>
          <w:sz w:val="32"/>
          <w:szCs w:val="32"/>
          <w:u w:val="single"/>
          <w:shd w:val="clear" w:color="auto" w:fill="FFFFFF"/>
        </w:rPr>
        <w:t>2．加强教学改革研究。</w:t>
      </w:r>
      <w:r>
        <w:rPr>
          <w:rFonts w:hint="eastAsia" w:ascii="仿宋_GB2312" w:hAnsi="仿宋_GB2312" w:eastAsia="仿宋_GB2312" w:cs="仿宋_GB2312"/>
          <w:b w:val="0"/>
          <w:bCs w:val="0"/>
          <w:i w:val="0"/>
          <w:caps w:val="0"/>
          <w:color w:val="auto"/>
          <w:spacing w:val="0"/>
          <w:sz w:val="32"/>
          <w:szCs w:val="32"/>
          <w:u w:val="single"/>
          <w:shd w:val="clear" w:color="auto" w:fill="FFFFFF"/>
        </w:rPr>
        <w:t>以提高教学质量为目标，加强新高考背景下的教法与学法研究，改进教学方法，着力提高课堂教学质量。</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探索创新教学模式，凝炼和</w:t>
      </w:r>
      <w:r>
        <w:rPr>
          <w:rFonts w:hint="eastAsia" w:ascii="仿宋_GB2312" w:hAnsi="仿宋_GB2312" w:eastAsia="仿宋_GB2312" w:cs="仿宋_GB2312"/>
          <w:b w:val="0"/>
          <w:bCs w:val="0"/>
          <w:color w:val="auto"/>
          <w:sz w:val="32"/>
          <w:szCs w:val="32"/>
          <w:u w:val="single"/>
          <w:lang w:val="en-US" w:eastAsia="zh-CN"/>
        </w:rPr>
        <w:t>遴选优秀教学成果,</w:t>
      </w:r>
      <w:r>
        <w:rPr>
          <w:rFonts w:hint="eastAsia" w:ascii="仿宋_GB2312" w:hAnsi="仿宋_GB2312" w:eastAsia="仿宋_GB2312" w:cs="仿宋_GB2312"/>
          <w:b w:val="0"/>
          <w:bCs w:val="0"/>
          <w:i w:val="0"/>
          <w:caps w:val="0"/>
          <w:color w:val="auto"/>
          <w:spacing w:val="0"/>
          <w:sz w:val="32"/>
          <w:szCs w:val="32"/>
          <w:u w:val="single"/>
          <w:shd w:val="clear" w:color="auto" w:fill="FFFFFF"/>
        </w:rPr>
        <w:t>建立优秀教学成果推广机制，引导县中选择适合的教学方式提高</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教育</w:t>
      </w:r>
      <w:r>
        <w:rPr>
          <w:rFonts w:hint="eastAsia" w:ascii="仿宋_GB2312" w:hAnsi="仿宋_GB2312" w:eastAsia="仿宋_GB2312" w:cs="仿宋_GB2312"/>
          <w:b w:val="0"/>
          <w:bCs w:val="0"/>
          <w:i w:val="0"/>
          <w:caps w:val="0"/>
          <w:color w:val="auto"/>
          <w:spacing w:val="0"/>
          <w:sz w:val="32"/>
          <w:szCs w:val="32"/>
          <w:u w:val="single"/>
          <w:shd w:val="clear" w:color="auto" w:fill="FFFFFF"/>
        </w:rPr>
        <w:t>教学质量。</w:t>
      </w:r>
      <w:r>
        <w:rPr>
          <w:rFonts w:hint="eastAsia" w:ascii="仿宋_GB2312" w:hAnsi="仿宋_GB2312" w:eastAsia="仿宋_GB2312" w:cs="仿宋_GB2312"/>
          <w:b/>
          <w:bCs/>
          <w:color w:val="auto"/>
          <w:sz w:val="32"/>
          <w:szCs w:val="32"/>
          <w:u w:val="single"/>
          <w:lang w:val="en-US" w:eastAsia="zh-CN"/>
        </w:rPr>
        <w:t>（责任单位：市教育局；完成时限：长期推进）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color w:val="auto"/>
          <w:sz w:val="32"/>
          <w:szCs w:val="32"/>
          <w:u w:val="single"/>
          <w:lang w:val="en-US" w:eastAsia="zh-CN"/>
        </w:rPr>
      </w:pPr>
      <w:r>
        <w:rPr>
          <w:rFonts w:hint="eastAsia" w:ascii="仿宋_GB2312" w:hAnsi="仿宋_GB2312" w:eastAsia="仿宋_GB2312" w:cs="仿宋_GB2312"/>
          <w:b/>
          <w:bCs/>
          <w:i w:val="0"/>
          <w:caps w:val="0"/>
          <w:color w:val="auto"/>
          <w:spacing w:val="0"/>
          <w:sz w:val="32"/>
          <w:szCs w:val="32"/>
          <w:u w:val="single"/>
          <w:shd w:val="clear" w:color="auto" w:fill="FFFFFF"/>
          <w:lang w:val="en-US" w:eastAsia="zh-CN"/>
        </w:rPr>
        <w:t>3</w:t>
      </w:r>
      <w:r>
        <w:rPr>
          <w:rFonts w:hint="eastAsia" w:ascii="仿宋_GB2312" w:hAnsi="仿宋_GB2312" w:eastAsia="仿宋_GB2312" w:cs="仿宋_GB2312"/>
          <w:b/>
          <w:bCs/>
          <w:i w:val="0"/>
          <w:caps w:val="0"/>
          <w:color w:val="auto"/>
          <w:spacing w:val="0"/>
          <w:sz w:val="32"/>
          <w:szCs w:val="32"/>
          <w:u w:val="single"/>
          <w:shd w:val="clear" w:color="auto" w:fill="FFFFFF"/>
        </w:rPr>
        <w:t>．完善综合素质评价。</w:t>
      </w:r>
      <w:r>
        <w:rPr>
          <w:rFonts w:hint="eastAsia" w:ascii="仿宋_GB2312" w:hAnsi="仿宋_GB2312" w:eastAsia="仿宋_GB2312" w:cs="仿宋_GB2312"/>
          <w:b w:val="0"/>
          <w:bCs w:val="0"/>
          <w:color w:val="auto"/>
          <w:sz w:val="32"/>
          <w:szCs w:val="32"/>
          <w:u w:val="single"/>
          <w:lang w:val="en-US" w:eastAsia="zh-CN"/>
        </w:rPr>
        <w:t>充分</w:t>
      </w:r>
      <w:r>
        <w:rPr>
          <w:rFonts w:hint="eastAsia" w:ascii="仿宋_GB2312" w:hAnsi="仿宋_GB2312" w:eastAsia="仿宋_GB2312" w:cs="仿宋_GB2312"/>
          <w:b w:val="0"/>
          <w:bCs w:val="0"/>
          <w:i w:val="0"/>
          <w:caps w:val="0"/>
          <w:color w:val="auto"/>
          <w:spacing w:val="0"/>
          <w:sz w:val="32"/>
          <w:szCs w:val="32"/>
          <w:u w:val="single"/>
          <w:shd w:val="clear" w:color="auto" w:fill="FFFFFF"/>
        </w:rPr>
        <w:t>完善普通高中学生综合素质评价，</w:t>
      </w:r>
      <w:r>
        <w:rPr>
          <w:rFonts w:hint="eastAsia" w:ascii="仿宋_GB2312" w:hAnsi="仿宋_GB2312" w:eastAsia="仿宋_GB2312" w:cs="仿宋_GB2312"/>
          <w:b w:val="0"/>
          <w:bCs w:val="0"/>
          <w:color w:val="auto"/>
          <w:sz w:val="32"/>
          <w:szCs w:val="32"/>
          <w:u w:val="single"/>
          <w:lang w:val="en-US" w:eastAsia="zh-CN"/>
        </w:rPr>
        <w:t>利用《广西壮族自治区普通高中学生综合素质评价信息管理系统》严格写实记录、整理遴选、公示审核、形成档案等评价程序，常态化实施综合素质评价。</w:t>
      </w:r>
      <w:r>
        <w:rPr>
          <w:rFonts w:hint="eastAsia" w:ascii="仿宋_GB2312" w:hAnsi="仿宋_GB2312" w:eastAsia="仿宋_GB2312" w:cs="仿宋_GB2312"/>
          <w:b w:val="0"/>
          <w:bCs w:val="0"/>
          <w:i w:val="0"/>
          <w:caps w:val="0"/>
          <w:color w:val="auto"/>
          <w:spacing w:val="0"/>
          <w:sz w:val="32"/>
          <w:szCs w:val="32"/>
          <w:u w:val="single"/>
          <w:shd w:val="clear" w:color="auto" w:fill="FFFFFF"/>
        </w:rPr>
        <w:t>加强学生发展指导，搭建学校、家庭、社会协同育人机制。</w:t>
      </w:r>
      <w:r>
        <w:rPr>
          <w:rFonts w:hint="eastAsia" w:ascii="仿宋_GB2312" w:hAnsi="仿宋_GB2312" w:eastAsia="仿宋_GB2312" w:cs="仿宋_GB2312"/>
          <w:b w:val="0"/>
          <w:bCs w:val="0"/>
          <w:color w:val="auto"/>
          <w:sz w:val="32"/>
          <w:szCs w:val="32"/>
          <w:u w:val="single"/>
          <w:lang w:eastAsia="zh-CN"/>
        </w:rPr>
        <w:t>通过详细记录学生成长过程中，</w:t>
      </w:r>
      <w:r>
        <w:rPr>
          <w:rFonts w:hint="eastAsia" w:ascii="仿宋_GB2312" w:hAnsi="仿宋_GB2312" w:eastAsia="仿宋_GB2312" w:cs="仿宋_GB2312"/>
          <w:b w:val="0"/>
          <w:bCs w:val="0"/>
          <w:color w:val="auto"/>
          <w:sz w:val="32"/>
          <w:szCs w:val="32"/>
          <w:u w:val="single"/>
          <w:lang w:val="en-US" w:eastAsia="zh-CN"/>
        </w:rPr>
        <w:t>强化过程评价，改进结果评价，健全综合评价，全面准确地评价教师教育教学质量和学生学习质量。</w:t>
      </w:r>
      <w:r>
        <w:rPr>
          <w:rFonts w:hint="eastAsia" w:ascii="仿宋_GB2312" w:hAnsi="仿宋_GB2312" w:eastAsia="仿宋_GB2312" w:cs="仿宋_GB2312"/>
          <w:b/>
          <w:bCs/>
          <w:color w:val="auto"/>
          <w:sz w:val="32"/>
          <w:szCs w:val="32"/>
          <w:u w:val="single"/>
          <w:lang w:val="en-US" w:eastAsia="zh-CN"/>
        </w:rPr>
        <w:t>（责任单位：市教育局；完成时限：长期推进）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val="0"/>
          <w:bCs w:val="0"/>
          <w:i w:val="0"/>
          <w:caps w:val="0"/>
          <w:color w:val="auto"/>
          <w:spacing w:val="0"/>
          <w:sz w:val="32"/>
          <w:szCs w:val="32"/>
          <w:u w:val="single"/>
        </w:rPr>
      </w:pPr>
      <w:r>
        <w:rPr>
          <w:rFonts w:hint="eastAsia" w:ascii="仿宋_GB2312" w:hAnsi="仿宋_GB2312" w:eastAsia="仿宋_GB2312" w:cs="仿宋_GB2312"/>
          <w:b/>
          <w:bCs/>
          <w:i w:val="0"/>
          <w:caps w:val="0"/>
          <w:color w:val="auto"/>
          <w:spacing w:val="0"/>
          <w:sz w:val="32"/>
          <w:szCs w:val="32"/>
          <w:u w:val="single"/>
          <w:shd w:val="clear" w:color="auto" w:fill="FFFFFF"/>
          <w:lang w:val="en-US" w:eastAsia="zh-CN"/>
        </w:rPr>
        <w:t>4</w:t>
      </w:r>
      <w:r>
        <w:rPr>
          <w:rFonts w:hint="eastAsia" w:ascii="仿宋_GB2312" w:hAnsi="仿宋_GB2312" w:eastAsia="仿宋_GB2312" w:cs="仿宋_GB2312"/>
          <w:b/>
          <w:bCs/>
          <w:i w:val="0"/>
          <w:caps w:val="0"/>
          <w:color w:val="auto"/>
          <w:spacing w:val="0"/>
          <w:sz w:val="32"/>
          <w:szCs w:val="32"/>
          <w:u w:val="single"/>
          <w:shd w:val="clear" w:color="auto" w:fill="FFFFFF"/>
        </w:rPr>
        <w:t>．引导学校发展特色</w:t>
      </w:r>
      <w:r>
        <w:rPr>
          <w:rFonts w:hint="eastAsia" w:ascii="仿宋_GB2312" w:hAnsi="仿宋_GB2312" w:eastAsia="仿宋_GB2312" w:cs="仿宋_GB2312"/>
          <w:b/>
          <w:bCs/>
          <w:i w:val="0"/>
          <w:caps w:val="0"/>
          <w:color w:val="auto"/>
          <w:spacing w:val="0"/>
          <w:sz w:val="32"/>
          <w:szCs w:val="32"/>
          <w:u w:val="single"/>
          <w:shd w:val="clear" w:color="auto" w:fill="FFFFFF"/>
          <w:lang w:eastAsia="zh-CN"/>
        </w:rPr>
        <w:t>办学</w:t>
      </w:r>
      <w:r>
        <w:rPr>
          <w:rFonts w:hint="eastAsia" w:ascii="仿宋_GB2312" w:hAnsi="仿宋_GB2312" w:eastAsia="仿宋_GB2312" w:cs="仿宋_GB2312"/>
          <w:b/>
          <w:bCs/>
          <w:i w:val="0"/>
          <w:caps w:val="0"/>
          <w:color w:val="auto"/>
          <w:spacing w:val="0"/>
          <w:sz w:val="32"/>
          <w:szCs w:val="32"/>
          <w:u w:val="single"/>
          <w:shd w:val="clear" w:color="auto" w:fill="FFFFFF"/>
        </w:rPr>
        <w:t>。</w:t>
      </w:r>
      <w:r>
        <w:rPr>
          <w:rFonts w:hint="eastAsia" w:ascii="仿宋_GB2312" w:hAnsi="仿宋_GB2312" w:eastAsia="仿宋_GB2312" w:cs="仿宋_GB2312"/>
          <w:b w:val="0"/>
          <w:bCs w:val="0"/>
          <w:i w:val="0"/>
          <w:caps w:val="0"/>
          <w:color w:val="auto"/>
          <w:spacing w:val="0"/>
          <w:sz w:val="32"/>
          <w:szCs w:val="32"/>
          <w:u w:val="single"/>
          <w:shd w:val="clear" w:color="auto" w:fill="FFFFFF"/>
        </w:rPr>
        <w:t>支持和引导各高中学校根据自身办学优势、办学传统、办学定位、县域特色等因素，更新办学理念，转变发展方式，开展特色办学，</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鼓励自治区示范性普通高中申报星级特色普通高中，</w:t>
      </w:r>
      <w:r>
        <w:rPr>
          <w:rFonts w:hint="eastAsia" w:ascii="仿宋_GB2312" w:hAnsi="仿宋_GB2312" w:eastAsia="仿宋_GB2312" w:cs="仿宋_GB2312"/>
          <w:b w:val="0"/>
          <w:bCs w:val="0"/>
          <w:i w:val="0"/>
          <w:caps w:val="0"/>
          <w:color w:val="auto"/>
          <w:spacing w:val="0"/>
          <w:sz w:val="32"/>
          <w:szCs w:val="32"/>
          <w:u w:val="single"/>
          <w:shd w:val="clear" w:color="auto" w:fill="FFFFFF"/>
        </w:rPr>
        <w:t>形成具有鲜明县域特色的普通高中育人模式。</w:t>
      </w:r>
      <w:r>
        <w:rPr>
          <w:rFonts w:hint="eastAsia" w:ascii="仿宋_GB2312" w:hAnsi="仿宋_GB2312" w:eastAsia="仿宋_GB2312" w:cs="仿宋_GB2312"/>
          <w:b/>
          <w:bCs/>
          <w:color w:val="auto"/>
          <w:sz w:val="32"/>
          <w:szCs w:val="32"/>
          <w:u w:val="single"/>
          <w:lang w:val="en-US" w:eastAsia="zh-CN"/>
        </w:rPr>
        <w:t>（责任单位：市教育局；完成时限：长期推进）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u w:val="none"/>
          <w:shd w:val="clear" w:color="auto" w:fill="FFFFFF"/>
          <w:lang w:val="en-US" w:eastAsia="zh-CN"/>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(五)改善办学条件。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i w:val="0"/>
          <w:caps w:val="0"/>
          <w:color w:val="auto"/>
          <w:spacing w:val="0"/>
          <w:kern w:val="0"/>
          <w:sz w:val="32"/>
          <w:szCs w:val="32"/>
          <w:u w:val="single"/>
          <w:shd w:val="clear" w:color="auto" w:fill="FFFFFF"/>
          <w:lang w:val="en-US" w:eastAsia="zh-CN" w:bidi="ar"/>
        </w:rPr>
        <w:t>1.优化学校布局结构。</w:t>
      </w:r>
      <w:r>
        <w:rPr>
          <w:rFonts w:hint="eastAsia" w:ascii="仿宋_GB2312" w:hAnsi="仿宋_GB2312" w:eastAsia="仿宋_GB2312" w:cs="仿宋_GB2312"/>
          <w:b w:val="0"/>
          <w:bCs w:val="0"/>
          <w:color w:val="auto"/>
          <w:sz w:val="32"/>
          <w:szCs w:val="32"/>
          <w:lang w:val="en-US" w:eastAsia="zh-CN"/>
        </w:rPr>
        <w:t>在国土空间规划的指导和约束下优化学校布局,</w:t>
      </w:r>
      <w:r>
        <w:rPr>
          <w:rFonts w:hint="eastAsia" w:ascii="仿宋_GB2312" w:hAnsi="仿宋_GB2312" w:eastAsia="仿宋_GB2312" w:cs="仿宋_GB2312"/>
          <w:b w:val="0"/>
          <w:bCs w:val="0"/>
          <w:color w:val="auto"/>
          <w:sz w:val="32"/>
          <w:szCs w:val="32"/>
          <w:u w:val="single"/>
          <w:lang w:val="en-US" w:eastAsia="zh-CN"/>
        </w:rPr>
        <w:t>以县(区)为单位制定高中阶段教育发展规划,</w:t>
      </w:r>
      <w:r>
        <w:rPr>
          <w:rFonts w:hint="eastAsia" w:ascii="仿宋_GB2312" w:hAnsi="仿宋_GB2312" w:eastAsia="仿宋_GB2312" w:cs="仿宋_GB2312"/>
          <w:b w:val="0"/>
          <w:bCs w:val="0"/>
          <w:color w:val="auto"/>
          <w:sz w:val="32"/>
          <w:szCs w:val="32"/>
          <w:lang w:val="en-US" w:eastAsia="zh-CN"/>
        </w:rPr>
        <w:t>原则上,按每10万—15万人口或初中毕业生2000人以上的县,设置1所普通高中,新建普通高中学校规模不得超过3000人。</w:t>
      </w:r>
      <w:r>
        <w:rPr>
          <w:rFonts w:hint="eastAsia" w:ascii="仿宋_GB2312" w:hAnsi="仿宋_GB2312" w:eastAsia="仿宋_GB2312" w:cs="仿宋_GB2312"/>
          <w:b w:val="0"/>
          <w:bCs w:val="0"/>
          <w:color w:val="auto"/>
          <w:sz w:val="32"/>
          <w:szCs w:val="32"/>
          <w:u w:val="single"/>
          <w:lang w:val="en-US" w:eastAsia="zh-CN"/>
        </w:rPr>
        <w:t>严禁超标建设豪华学校,严禁随意撤并县中。</w:t>
      </w:r>
      <w:r>
        <w:rPr>
          <w:rFonts w:hint="eastAsia" w:ascii="仿宋_GB2312" w:hAnsi="仿宋_GB2312" w:eastAsia="仿宋_GB2312" w:cs="仿宋_GB2312"/>
          <w:b/>
          <w:bCs/>
          <w:color w:val="auto"/>
          <w:sz w:val="32"/>
          <w:szCs w:val="32"/>
          <w:lang w:val="en-US" w:eastAsia="zh-CN"/>
        </w:rPr>
        <w:t>〔责任单位:市教育局;完成时限:2025年12月〕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i w:val="0"/>
          <w:caps w:val="0"/>
          <w:color w:val="auto"/>
          <w:spacing w:val="0"/>
          <w:kern w:val="0"/>
          <w:sz w:val="32"/>
          <w:szCs w:val="32"/>
          <w:u w:val="single"/>
          <w:shd w:val="clear" w:color="auto" w:fill="FFFFFF"/>
          <w:lang w:val="en-US" w:eastAsia="zh-CN" w:bidi="ar"/>
        </w:rPr>
        <w:t>2.实施县中标准化建设工程。</w:t>
      </w:r>
      <w:r>
        <w:rPr>
          <w:rFonts w:hint="eastAsia" w:ascii="仿宋_GB2312" w:hAnsi="仿宋_GB2312" w:eastAsia="仿宋_GB2312" w:cs="仿宋_GB2312"/>
          <w:b w:val="0"/>
          <w:bCs w:val="0"/>
          <w:color w:val="auto"/>
          <w:sz w:val="32"/>
          <w:szCs w:val="32"/>
          <w:lang w:val="en-US" w:eastAsia="zh-CN"/>
        </w:rPr>
        <w:t>按照国家中小学校建设标准,组织实施普通高中突破发展工程,</w:t>
      </w:r>
      <w:r>
        <w:rPr>
          <w:rFonts w:hint="eastAsia" w:ascii="仿宋_GB2312" w:hAnsi="仿宋_GB2312" w:eastAsia="仿宋_GB2312" w:cs="仿宋_GB2312"/>
          <w:b w:val="0"/>
          <w:bCs w:val="0"/>
          <w:color w:val="auto"/>
          <w:sz w:val="32"/>
          <w:szCs w:val="32"/>
          <w:u w:val="single"/>
          <w:lang w:val="en-US" w:eastAsia="zh-CN"/>
        </w:rPr>
        <w:t>各县要“一校一案”制订县中标准化建设工程实施方案,各县要进一步加大地方财政投入力度,每个县至少办好一所公办县中。各县将县中发展纳入以县城为重要载体的城镇化建设体系。支持县中申请自治区统筹的普通高中建设资金,改善县中办学条件。加强普通高中信息化终端设备配备,优化普通高中信息化教学环境,推动学校数字转型和智能升级,到2025年实现数字校园全覆盖。支持依托普通高中开展信息化融合创新实验校建设,推进信息技术与教育教学深度融合。各县（区）要完善配套设施,</w:t>
      </w:r>
      <w:r>
        <w:rPr>
          <w:rFonts w:hint="eastAsia" w:ascii="仿宋_GB2312" w:hAnsi="仿宋_GB2312" w:eastAsia="仿宋_GB2312" w:cs="仿宋_GB2312"/>
          <w:b w:val="0"/>
          <w:bCs w:val="0"/>
          <w:color w:val="auto"/>
          <w:sz w:val="32"/>
          <w:szCs w:val="32"/>
          <w:lang w:val="en-US" w:eastAsia="zh-CN"/>
        </w:rPr>
        <w:t>加强标准化考点建设。加强工程建设监管,确保建设质量。</w:t>
      </w:r>
      <w:r>
        <w:rPr>
          <w:rFonts w:hint="eastAsia" w:ascii="仿宋_GB2312" w:hAnsi="仿宋_GB2312" w:eastAsia="仿宋_GB2312" w:cs="仿宋_GB2312"/>
          <w:b/>
          <w:bCs/>
          <w:color w:val="auto"/>
          <w:sz w:val="32"/>
          <w:szCs w:val="32"/>
          <w:lang w:val="en-US" w:eastAsia="zh-CN"/>
        </w:rPr>
        <w:t>〔责任单位:市教育局、发展改革委、财政局、住房城乡建设局;完成时限:2025年12月〕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i w:val="0"/>
          <w:caps w:val="0"/>
          <w:color w:val="auto"/>
          <w:spacing w:val="0"/>
          <w:kern w:val="0"/>
          <w:sz w:val="32"/>
          <w:szCs w:val="32"/>
          <w:u w:val="single"/>
          <w:shd w:val="clear" w:color="auto" w:fill="FFFFFF"/>
          <w:lang w:val="en-US" w:eastAsia="zh-CN" w:bidi="ar"/>
        </w:rPr>
        <w:t>3.巩固普通高中大班额治理成果。</w:t>
      </w:r>
      <w:r>
        <w:rPr>
          <w:rFonts w:hint="eastAsia" w:ascii="仿宋_GB2312" w:hAnsi="仿宋_GB2312" w:eastAsia="仿宋_GB2312" w:cs="仿宋_GB2312"/>
          <w:b w:val="0"/>
          <w:bCs w:val="0"/>
          <w:color w:val="auto"/>
          <w:sz w:val="32"/>
          <w:szCs w:val="32"/>
          <w:lang w:val="en-US" w:eastAsia="zh-CN"/>
        </w:rPr>
        <w:t>继续实施消除普通高中大班额规划,建立大班额动态预警机制,基本消除56人及以上大班额。普通高中新入学年级班额不得超过55人。各地要制定大规模学校规模压减实施方案,积极稳妥化解大规模学校,优化校舍资源配置和功能结构。</w:t>
      </w:r>
      <w:r>
        <w:rPr>
          <w:rFonts w:hint="eastAsia" w:ascii="仿宋_GB2312" w:hAnsi="仿宋_GB2312" w:eastAsia="仿宋_GB2312" w:cs="仿宋_GB2312"/>
          <w:b/>
          <w:bCs/>
          <w:color w:val="auto"/>
          <w:sz w:val="32"/>
          <w:szCs w:val="32"/>
          <w:lang w:val="en-US" w:eastAsia="zh-CN"/>
        </w:rPr>
        <w:t>〔责任单位:市教育局、财政局、自然资源局;完成时限:持续推进〕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u w:val="none"/>
          <w:shd w:val="clear" w:color="auto" w:fill="FFFFFF"/>
          <w:lang w:val="en-US" w:eastAsia="zh-CN"/>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 xml:space="preserve"> （六）加大经费投入力度。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val="0"/>
          <w:bCs w:val="0"/>
          <w:i w:val="0"/>
          <w:caps w:val="0"/>
          <w:color w:val="auto"/>
          <w:spacing w:val="0"/>
          <w:sz w:val="32"/>
          <w:szCs w:val="32"/>
          <w:u w:val="single"/>
          <w:shd w:val="clear" w:color="auto"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u w:val="single"/>
          <w:shd w:val="clear" w:color="auto" w:fill="FFFFFF"/>
        </w:rPr>
        <w:t>各县（区）要强化县（区）级财政投入责任，</w:t>
      </w:r>
      <w:r>
        <w:rPr>
          <w:rFonts w:hint="eastAsia" w:ascii="仿宋_GB2312" w:hAnsi="仿宋_GB2312" w:cs="仿宋_GB2312"/>
          <w:b w:val="0"/>
          <w:bCs w:val="0"/>
          <w:i w:val="0"/>
          <w:caps w:val="0"/>
          <w:color w:val="auto"/>
          <w:spacing w:val="0"/>
          <w:sz w:val="32"/>
          <w:szCs w:val="32"/>
          <w:u w:val="single"/>
          <w:shd w:val="clear" w:color="auto" w:fill="FFFFFF"/>
          <w:lang w:eastAsia="zh-CN"/>
        </w:rPr>
        <w:t>多渠道筹集资金，</w:t>
      </w:r>
      <w:r>
        <w:rPr>
          <w:rFonts w:hint="eastAsia" w:ascii="仿宋_GB2312" w:hAnsi="仿宋_GB2312" w:eastAsia="仿宋_GB2312" w:cs="仿宋_GB2312"/>
          <w:b w:val="0"/>
          <w:bCs w:val="0"/>
          <w:i w:val="0"/>
          <w:caps w:val="0"/>
          <w:color w:val="auto"/>
          <w:spacing w:val="0"/>
          <w:sz w:val="32"/>
          <w:szCs w:val="32"/>
          <w:u w:val="single"/>
          <w:shd w:val="clear" w:color="auto" w:fill="FFFFFF"/>
        </w:rPr>
        <w:t>加大普通高中建设经费投入力度。健全普通高中生均公用经费拨</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付</w:t>
      </w:r>
      <w:r>
        <w:rPr>
          <w:rFonts w:hint="eastAsia" w:ascii="仿宋_GB2312" w:hAnsi="仿宋_GB2312" w:eastAsia="仿宋_GB2312" w:cs="仿宋_GB2312"/>
          <w:b w:val="0"/>
          <w:bCs w:val="0"/>
          <w:i w:val="0"/>
          <w:caps w:val="0"/>
          <w:color w:val="auto"/>
          <w:spacing w:val="0"/>
          <w:sz w:val="32"/>
          <w:szCs w:val="32"/>
          <w:u w:val="single"/>
          <w:shd w:val="clear" w:color="auto" w:fill="FFFFFF"/>
        </w:rPr>
        <w:t>制度，结合经济社会发展水平，适时提高普通高中生均公用经费水平。积极争取上级普通高中建设项目经费。完善普通高中成本分担机制和学费动态调整机制</w:t>
      </w:r>
      <w:r>
        <w:rPr>
          <w:rFonts w:hint="eastAsia" w:ascii="仿宋_GB2312" w:hAnsi="仿宋_GB2312" w:cs="仿宋_GB2312"/>
          <w:b w:val="0"/>
          <w:bCs w:val="0"/>
          <w:i w:val="0"/>
          <w:caps w:val="0"/>
          <w:color w:val="auto"/>
          <w:spacing w:val="0"/>
          <w:sz w:val="32"/>
          <w:szCs w:val="32"/>
          <w:u w:val="singl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u w:val="single"/>
          <w:shd w:val="clear" w:color="auto" w:fill="FFFFFF"/>
        </w:rPr>
        <w:t>继续实施好国家助学金和免学杂费</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等</w:t>
      </w:r>
      <w:r>
        <w:rPr>
          <w:rFonts w:hint="eastAsia" w:ascii="仿宋_GB2312" w:hAnsi="仿宋_GB2312" w:eastAsia="仿宋_GB2312" w:cs="仿宋_GB2312"/>
          <w:b w:val="0"/>
          <w:bCs w:val="0"/>
          <w:i w:val="0"/>
          <w:caps w:val="0"/>
          <w:color w:val="auto"/>
          <w:spacing w:val="0"/>
          <w:sz w:val="32"/>
          <w:szCs w:val="32"/>
          <w:u w:val="single"/>
          <w:shd w:val="clear" w:color="auto" w:fill="FFFFFF"/>
        </w:rPr>
        <w:t>政策，确保家庭经济困难学生顺利完成学业。</w:t>
      </w:r>
      <w:r>
        <w:rPr>
          <w:rFonts w:hint="eastAsia" w:ascii="仿宋_GB2312" w:hAnsi="仿宋_GB2312" w:eastAsia="仿宋_GB2312" w:cs="仿宋_GB2312"/>
          <w:b/>
          <w:bCs/>
          <w:color w:val="auto"/>
          <w:kern w:val="0"/>
          <w:sz w:val="32"/>
          <w:szCs w:val="32"/>
          <w:lang w:val="en-US" w:eastAsia="zh-CN"/>
        </w:rPr>
        <w:t>〔责任单位:市财政局、发展改革委、教育局;完成时限:持续推进〕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四、保障措施</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u w:val="none"/>
          <w:shd w:val="clear" w:color="auto" w:fill="FFFFFF"/>
          <w:lang w:val="en-US" w:eastAsia="zh-CN"/>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(一)坚持党的全面领导。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坚持和加强党对县中的全面领导,贯彻落实《关于建立中小学校党组织领导的校长负责制的意见(试行)》和《关于建立中小学校党组织领导的校长负责制的实施意见(试行)》,落实《民办学校党建工作重点任务》。</w:t>
      </w:r>
      <w:r>
        <w:rPr>
          <w:rFonts w:hint="eastAsia" w:ascii="仿宋_GB2312" w:hAnsi="仿宋_GB2312" w:eastAsia="仿宋_GB2312" w:cs="仿宋_GB2312"/>
          <w:b w:val="0"/>
          <w:bCs w:val="0"/>
          <w:i w:val="0"/>
          <w:caps w:val="0"/>
          <w:color w:val="auto"/>
          <w:spacing w:val="0"/>
          <w:sz w:val="32"/>
          <w:szCs w:val="32"/>
          <w:u w:val="single"/>
          <w:shd w:val="clear" w:color="auto" w:fill="FFFFFF"/>
        </w:rPr>
        <w:t>各县（区）要高度重视县中发展提升工作，切实落实党委政府责任，把县中发展提升工作作为推进区域教育高质量发展和现代化建设的重大举措，纳入重要议事日程，认真研究制定本地县中发展提升计划，积极推动解决县中发展提升面临的突出问题。加强党对县中的全面领导，推动建立党组织领导的校长负责制，选优配强党组织书记和校长，充分发挥党组织的战斗堡垒作用，调动教师的积极性、创造性，为加快县中发展提升提供坚强的政治和人才保障。</w:t>
      </w:r>
      <w:r>
        <w:rPr>
          <w:rFonts w:hint="eastAsia" w:ascii="仿宋_GB2312" w:hAnsi="仿宋_GB2312" w:eastAsia="仿宋_GB2312" w:cs="仿宋_GB2312"/>
          <w:b/>
          <w:bCs/>
          <w:color w:val="auto"/>
          <w:sz w:val="32"/>
          <w:szCs w:val="32"/>
          <w:lang w:val="en-US" w:eastAsia="zh-CN"/>
        </w:rPr>
        <w:t>〔责任单位:市委教育工委、组织部;完成时限:持续推进〕</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b w:val="0"/>
          <w:bCs w:val="0"/>
          <w:i w:val="0"/>
          <w:caps w:val="0"/>
          <w:color w:val="auto"/>
          <w:spacing w:val="0"/>
          <w:sz w:val="32"/>
          <w:szCs w:val="32"/>
          <w:shd w:val="clear" w:color="auto" w:fill="FFFFFF"/>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（二）建立分工协作机制</w:t>
      </w:r>
    </w:p>
    <w:p>
      <w:pPr>
        <w:pStyle w:val="1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u w:val="single"/>
          <w:shd w:val="clear" w:color="auto" w:fill="FFFFFF"/>
        </w:rPr>
        <w:t>各部门要</w:t>
      </w:r>
      <w:r>
        <w:rPr>
          <w:rFonts w:hint="eastAsia" w:ascii="仿宋_GB2312" w:hAnsi="仿宋_GB2312" w:eastAsia="仿宋_GB2312" w:cs="仿宋_GB2312"/>
          <w:b w:val="0"/>
          <w:bCs w:val="0"/>
          <w:i w:val="0"/>
          <w:iCs w:val="0"/>
          <w:caps w:val="0"/>
          <w:color w:val="auto"/>
          <w:spacing w:val="0"/>
          <w:sz w:val="32"/>
          <w:szCs w:val="32"/>
          <w:u w:val="single"/>
          <w:shd w:val="clear" w:color="auto" w:fill="FFFFFF"/>
          <w:lang w:eastAsia="zh-CN"/>
        </w:rPr>
        <w:t>根据本</w:t>
      </w:r>
      <w:r>
        <w:rPr>
          <w:rFonts w:hint="eastAsia" w:ascii="仿宋_GB2312" w:hAnsi="仿宋_GB2312" w:eastAsia="仿宋_GB2312" w:cs="仿宋_GB2312"/>
          <w:b w:val="0"/>
          <w:bCs w:val="0"/>
          <w:i w:val="0"/>
          <w:iCs w:val="0"/>
          <w:caps w:val="0"/>
          <w:color w:val="auto"/>
          <w:spacing w:val="0"/>
          <w:sz w:val="32"/>
          <w:szCs w:val="32"/>
          <w:u w:val="single"/>
          <w:shd w:val="clear" w:color="auto" w:fill="FFFFFF"/>
        </w:rPr>
        <w:t>方案分工落实责任，相互协作，形成推进我市县域普通高中发展的合力。教育部门要加强沟通协调，会同财政、编制、人社、自然资源、住建等有关部门，推动落实经费投入、教师待遇保障、教师补充、建设用地等各项任务。</w:t>
      </w:r>
      <w:r>
        <w:rPr>
          <w:rFonts w:hint="eastAsia" w:ascii="仿宋_GB2312" w:hAnsi="仿宋_GB2312" w:eastAsia="仿宋_GB2312" w:cs="仿宋_GB2312"/>
          <w:b/>
          <w:bCs/>
          <w:color w:val="auto"/>
          <w:kern w:val="0"/>
          <w:sz w:val="32"/>
          <w:szCs w:val="32"/>
          <w:lang w:val="en-US" w:eastAsia="zh-CN"/>
        </w:rPr>
        <w:t>〔责任单位：市教育局、市委编办、市财政局、市人力资源社会保障局、市自然资源局、市住房城乡建设局；完成时限：持续推进〕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u w:val="none"/>
          <w:shd w:val="clear" w:color="auto" w:fill="FFFFFF"/>
          <w:lang w:val="en-US" w:eastAsia="zh-CN"/>
        </w:rPr>
      </w:pPr>
      <w:r>
        <w:rPr>
          <w:rFonts w:hint="eastAsia" w:ascii="楷体_GB2312" w:hAnsi="楷体_GB2312" w:eastAsia="楷体_GB2312" w:cs="楷体_GB2312"/>
          <w:b/>
          <w:bCs/>
          <w:i w:val="0"/>
          <w:caps w:val="0"/>
          <w:color w:val="auto"/>
          <w:spacing w:val="0"/>
          <w:sz w:val="32"/>
          <w:szCs w:val="32"/>
          <w:u w:val="none"/>
          <w:shd w:val="clear" w:color="auto" w:fill="FFFFFF"/>
          <w:lang w:val="en-US" w:eastAsia="zh-CN"/>
        </w:rPr>
        <w:t>(三)强化督导评价考核。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i w:val="0"/>
          <w:iCs w:val="0"/>
          <w:color w:val="auto"/>
          <w:sz w:val="32"/>
          <w:szCs w:val="32"/>
          <w:u w:val="single"/>
          <w:lang w:val="en-US" w:eastAsia="zh-CN"/>
        </w:rPr>
        <w:t>各县（区）研究制定本地县中发展提升行动计划,</w:t>
      </w:r>
      <w:r>
        <w:rPr>
          <w:rFonts w:hint="eastAsia" w:ascii="仿宋_GB2312" w:hAnsi="仿宋_GB2312" w:eastAsia="仿宋_GB2312" w:cs="仿宋_GB2312"/>
          <w:b w:val="0"/>
          <w:bCs w:val="0"/>
          <w:color w:val="auto"/>
          <w:sz w:val="32"/>
          <w:szCs w:val="32"/>
          <w:lang w:val="en-US" w:eastAsia="zh-CN"/>
        </w:rPr>
        <w:t>将县中发展提升作为推进区域教育现代化的重大举措。</w:t>
      </w:r>
      <w:r>
        <w:rPr>
          <w:rFonts w:hint="eastAsia" w:ascii="仿宋_GB2312" w:hAnsi="仿宋_GB2312" w:eastAsia="仿宋_GB2312" w:cs="仿宋_GB2312"/>
          <w:b w:val="0"/>
          <w:bCs w:val="0"/>
          <w:i w:val="0"/>
          <w:caps w:val="0"/>
          <w:color w:val="auto"/>
          <w:spacing w:val="0"/>
          <w:sz w:val="32"/>
          <w:szCs w:val="32"/>
          <w:u w:val="single"/>
          <w:shd w:val="clear" w:color="auto" w:fill="FFFFFF"/>
        </w:rPr>
        <w:t>市人民政府教育督导委员会办公室将县中发展提升情况纳入对县级人民政府履行教育职责督导评估的重要内容，重点督导普通高中招生管理、教师配备、生均公用经费保障、学校标准化建设、化解大班额、办学质量提升、安防建设等方面情况，建立县中发展提升情况跟踪督导机制，对督导发现的问题限期整改、强化问责。</w:t>
      </w:r>
      <w:r>
        <w:rPr>
          <w:rFonts w:hint="eastAsia" w:ascii="仿宋_GB2312" w:hAnsi="仿宋_GB2312" w:eastAsia="仿宋_GB2312" w:cs="仿宋_GB2312"/>
          <w:b/>
          <w:bCs/>
          <w:color w:val="auto"/>
          <w:sz w:val="32"/>
          <w:szCs w:val="32"/>
          <w:lang w:val="en-US" w:eastAsia="zh-CN"/>
        </w:rPr>
        <w:t>〔责任单位:市人民政府教育督导委员会办公室、市教育局;完成时限:持续推进〕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i w:val="0"/>
          <w:caps w:val="0"/>
          <w:color w:val="auto"/>
          <w:spacing w:val="0"/>
          <w:kern w:val="0"/>
          <w:sz w:val="32"/>
          <w:szCs w:val="32"/>
          <w:u w:val="none"/>
          <w:shd w:val="clear" w:color="auto" w:fill="FFFFFF"/>
          <w:lang w:val="en-US" w:eastAsia="zh-CN" w:bidi="ar"/>
        </w:rPr>
        <w:t>(四)大力营造良好氛围。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i w:val="0"/>
          <w:caps w:val="0"/>
          <w:color w:val="auto"/>
          <w:spacing w:val="0"/>
          <w:sz w:val="32"/>
          <w:szCs w:val="32"/>
          <w:u w:val="single"/>
          <w:shd w:val="clear" w:color="auto" w:fill="FFFFFF"/>
        </w:rPr>
        <w:t>各县（区）要坚持正确的舆论导向，加大对县中发展提升计划的宣传力度。要通过</w:t>
      </w:r>
      <w:r>
        <w:rPr>
          <w:rFonts w:hint="eastAsia" w:ascii="仿宋_GB2312" w:hAnsi="仿宋_GB2312" w:cs="仿宋_GB2312"/>
          <w:b w:val="0"/>
          <w:bCs w:val="0"/>
          <w:i w:val="0"/>
          <w:caps w:val="0"/>
          <w:color w:val="auto"/>
          <w:spacing w:val="0"/>
          <w:sz w:val="32"/>
          <w:szCs w:val="32"/>
          <w:u w:val="single"/>
          <w:shd w:val="clear" w:color="auto" w:fill="FFFFFF"/>
          <w:lang w:eastAsia="zh-CN"/>
        </w:rPr>
        <w:t>登录</w:t>
      </w:r>
      <w:bookmarkStart w:id="0" w:name="_GoBack"/>
      <w:bookmarkEnd w:id="0"/>
      <w:r>
        <w:rPr>
          <w:rFonts w:hint="eastAsia" w:ascii="仿宋_GB2312" w:hAnsi="仿宋_GB2312" w:eastAsia="仿宋_GB2312" w:cs="仿宋_GB2312"/>
          <w:b w:val="0"/>
          <w:bCs w:val="0"/>
          <w:color w:val="auto"/>
          <w:sz w:val="32"/>
          <w:szCs w:val="32"/>
          <w:u w:val="single"/>
          <w:lang w:val="en-US" w:eastAsia="zh-CN"/>
        </w:rPr>
        <w:t>自治区教育厅网站开设的“县中发展提升行动计划”专栏、接收</w:t>
      </w:r>
      <w:r>
        <w:rPr>
          <w:rFonts w:hint="eastAsia" w:ascii="仿宋_GB2312" w:hAnsi="仿宋_GB2312" w:eastAsia="仿宋_GB2312" w:cs="仿宋_GB2312"/>
          <w:b w:val="0"/>
          <w:bCs w:val="0"/>
          <w:i w:val="0"/>
          <w:caps w:val="0"/>
          <w:color w:val="auto"/>
          <w:spacing w:val="0"/>
          <w:sz w:val="32"/>
          <w:szCs w:val="32"/>
          <w:u w:val="single"/>
          <w:shd w:val="clear" w:color="auto" w:fill="FFFFFF"/>
        </w:rPr>
        <w:t>广播电视、</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阅览报刊</w:t>
      </w:r>
      <w:r>
        <w:rPr>
          <w:rFonts w:hint="eastAsia" w:ascii="仿宋_GB2312" w:hAnsi="仿宋_GB2312" w:eastAsia="仿宋_GB2312" w:cs="仿宋_GB2312"/>
          <w:b w:val="0"/>
          <w:bCs w:val="0"/>
          <w:i w:val="0"/>
          <w:caps w:val="0"/>
          <w:color w:val="auto"/>
          <w:spacing w:val="0"/>
          <w:sz w:val="32"/>
          <w:szCs w:val="32"/>
          <w:u w:val="single"/>
          <w:shd w:val="clear" w:color="auto" w:fill="FFFFFF"/>
        </w:rPr>
        <w:t>报纸等各类新闻媒体，深入宣传党的教育方针，推动树立素质教育观念，严禁炒作高考升学率和高考状元。要及时总结宣传县中发展提升的典型经验</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u w:val="single"/>
          <w:shd w:val="clear" w:color="auto" w:fill="FFFFFF"/>
        </w:rPr>
        <w:t>典型做法</w:t>
      </w:r>
      <w:r>
        <w:rPr>
          <w:rFonts w:hint="eastAsia" w:ascii="仿宋_GB2312" w:hAnsi="仿宋_GB2312" w:eastAsia="仿宋_GB2312" w:cs="仿宋_GB2312"/>
          <w:b w:val="0"/>
          <w:bCs w:val="0"/>
          <w:i w:val="0"/>
          <w:caps w:val="0"/>
          <w:color w:val="auto"/>
          <w:spacing w:val="0"/>
          <w:sz w:val="32"/>
          <w:szCs w:val="32"/>
          <w:u w:val="single"/>
          <w:shd w:val="clear" w:color="auto" w:fill="FFFFFF"/>
          <w:lang w:eastAsia="zh-CN"/>
        </w:rPr>
        <w:t>、</w:t>
      </w:r>
      <w:r>
        <w:rPr>
          <w:rFonts w:hint="eastAsia" w:ascii="仿宋_GB2312" w:hAnsi="仿宋_GB2312" w:eastAsia="仿宋_GB2312" w:cs="仿宋_GB2312"/>
          <w:b w:val="0"/>
          <w:bCs w:val="0"/>
          <w:color w:val="auto"/>
          <w:sz w:val="32"/>
          <w:szCs w:val="32"/>
          <w:u w:val="single"/>
          <w:lang w:val="en-US" w:eastAsia="zh-CN"/>
        </w:rPr>
        <w:t>典型案例、典型人物,</w:t>
      </w:r>
      <w:r>
        <w:rPr>
          <w:rFonts w:hint="eastAsia" w:ascii="仿宋_GB2312" w:hAnsi="仿宋_GB2312" w:eastAsia="仿宋_GB2312" w:cs="仿宋_GB2312"/>
          <w:b w:val="0"/>
          <w:bCs w:val="0"/>
          <w:i w:val="0"/>
          <w:caps w:val="0"/>
          <w:color w:val="auto"/>
          <w:spacing w:val="0"/>
          <w:sz w:val="32"/>
          <w:szCs w:val="32"/>
          <w:u w:val="single"/>
          <w:shd w:val="clear" w:color="auto" w:fill="FFFFFF"/>
        </w:rPr>
        <w:t>大力营造县中持续健康协调发展的良好氛围。</w:t>
      </w:r>
      <w:r>
        <w:rPr>
          <w:rFonts w:hint="eastAsia" w:ascii="仿宋_GB2312" w:hAnsi="仿宋_GB2312" w:eastAsia="仿宋_GB2312" w:cs="仿宋_GB2312"/>
          <w:b/>
          <w:bCs/>
          <w:color w:val="auto"/>
          <w:sz w:val="32"/>
          <w:szCs w:val="32"/>
          <w:lang w:val="en-US" w:eastAsia="zh-CN"/>
        </w:rPr>
        <w:t>〔责任单位:市教育局、</w:t>
      </w:r>
      <w:r>
        <w:rPr>
          <w:rFonts w:hint="eastAsia" w:ascii="仿宋_GB2312" w:hAnsi="仿宋_GB2312" w:cs="仿宋_GB2312"/>
          <w:b/>
          <w:bCs/>
          <w:color w:val="auto"/>
          <w:sz w:val="32"/>
          <w:szCs w:val="32"/>
          <w:lang w:val="en-US" w:eastAsia="zh-CN"/>
        </w:rPr>
        <w:t>市委</w:t>
      </w:r>
      <w:r>
        <w:rPr>
          <w:rFonts w:hint="eastAsia" w:ascii="仿宋_GB2312" w:hAnsi="仿宋_GB2312" w:eastAsia="仿宋_GB2312" w:cs="仿宋_GB2312"/>
          <w:b/>
          <w:bCs/>
          <w:color w:val="auto"/>
          <w:sz w:val="32"/>
          <w:szCs w:val="32"/>
          <w:lang w:val="en-US" w:eastAsia="zh-CN"/>
        </w:rPr>
        <w:t>网信办、市</w:t>
      </w:r>
      <w:r>
        <w:rPr>
          <w:rFonts w:hint="eastAsia" w:ascii="仿宋_GB2312" w:hAnsi="仿宋_GB2312" w:cs="仿宋_GB2312"/>
          <w:b/>
          <w:bCs/>
          <w:color w:val="auto"/>
          <w:sz w:val="32"/>
          <w:szCs w:val="32"/>
          <w:lang w:val="en-US" w:eastAsia="zh-CN"/>
        </w:rPr>
        <w:t>文广体旅</w:t>
      </w:r>
      <w:r>
        <w:rPr>
          <w:rFonts w:hint="eastAsia" w:ascii="仿宋_GB2312" w:hAnsi="仿宋_GB2312" w:eastAsia="仿宋_GB2312" w:cs="仿宋_GB2312"/>
          <w:b/>
          <w:bCs/>
          <w:color w:val="auto"/>
          <w:sz w:val="32"/>
          <w:szCs w:val="32"/>
          <w:lang w:val="en-US" w:eastAsia="zh-CN"/>
        </w:rPr>
        <w:t>局;完成时限:持续推进〕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1" w:leftChars="0" w:right="0" w:rightChars="0" w:firstLine="0" w:firstLineChars="0"/>
        <w:jc w:val="left"/>
        <w:textAlignment w:val="bottom"/>
        <w:outlineLvl w:val="9"/>
        <w:rPr>
          <w:rFonts w:hint="eastAsia" w:ascii="仿宋_GB2312" w:hAnsi="仿宋_GB2312"/>
          <w:sz w:val="24"/>
          <w:lang w:val="en-US" w:eastAsia="zh-CN"/>
        </w:rPr>
      </w:pPr>
      <w:r>
        <w:rPr>
          <w:rFonts w:hint="eastAsia" w:ascii="仿宋_GB2312" w:hAnsi="仿宋_GB2312"/>
          <w:sz w:val="24"/>
          <w:lang w:val="en-US" w:eastAsia="zh-CN"/>
        </w:rPr>
        <w:t xml:space="preserve">             </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2097" w:right="1474" w:bottom="1984" w:left="1587" w:header="566" w:footer="1474"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仿宋_GB2312"/>
                              <w:sz w:val="24"/>
                              <w:szCs w:val="24"/>
                              <w:lang w:eastAsia="zh-CN"/>
                            </w:rPr>
                          </w:pPr>
                          <w:r>
                            <w:rPr>
                              <w:rFonts w:hint="eastAsia" w:ascii="宋体" w:hAnsi="宋体" w:eastAsia="宋体"/>
                              <w:sz w:val="28"/>
                              <w:szCs w:val="24"/>
                              <w:lang w:eastAsia="zh-CN"/>
                            </w:rPr>
                            <w:fldChar w:fldCharType="begin"/>
                          </w:r>
                          <w:r>
                            <w:rPr>
                              <w:rFonts w:hint="eastAsia" w:ascii="宋体" w:hAnsi="宋体" w:eastAsia="宋体"/>
                              <w:sz w:val="28"/>
                              <w:szCs w:val="24"/>
                              <w:lang w:eastAsia="zh-CN"/>
                            </w:rPr>
                            <w:instrText xml:space="preserve"> PAGE  \* MERGEFORMAT </w:instrText>
                          </w:r>
                          <w:r>
                            <w:rPr>
                              <w:rFonts w:hint="eastAsia" w:ascii="宋体" w:hAnsi="宋体" w:eastAsia="宋体"/>
                              <w:sz w:val="28"/>
                              <w:szCs w:val="24"/>
                              <w:lang w:eastAsia="zh-CN"/>
                            </w:rPr>
                            <w:fldChar w:fldCharType="separate"/>
                          </w:r>
                          <w:r>
                            <w:rPr>
                              <w:rFonts w:hint="eastAsia" w:ascii="宋体" w:hAnsi="宋体" w:eastAsia="宋体"/>
                              <w:sz w:val="28"/>
                              <w:szCs w:val="24"/>
                              <w:lang w:eastAsia="zh-CN"/>
                            </w:rPr>
                            <w:t>1</w:t>
                          </w:r>
                          <w:r>
                            <w:rPr>
                              <w:rFonts w:hint="eastAsia" w:ascii="宋体" w:hAnsi="宋体" w:eastAsia="宋体"/>
                              <w:sz w:val="28"/>
                              <w:szCs w:val="24"/>
                              <w:lang w:eastAsia="zh-CN"/>
                            </w:rPr>
                            <w:fldChar w:fldCharType="end"/>
                          </w:r>
                        </w:p>
                      </w:txbxContent>
                    </wps:txbx>
                    <wps:bodyPr vert="horz" wrap="none" lIns="0" tIns="0" rIns="0" bIns="0" anchor="t"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FMEfn+IBAAC7AwAADgAA&#10;AAAAAAABACAAAAAeAQAAZHJzL2Uyb0RvYy54bWxQSwUGAAAAAAYABgBZAQAAcgUAAAAA&#10;">
              <v:fill on="f" focussize="0,0"/>
              <v:stroke on="f"/>
              <v:imagedata o:title=""/>
              <o:lock v:ext="edit" aspectratio="f"/>
              <v:textbox inset="0mm,0mm,0mm,0mm" style="mso-fit-shape-to-text:t;">
                <w:txbxContent>
                  <w:p>
                    <w:pPr>
                      <w:pStyle w:val="9"/>
                      <w:rPr>
                        <w:rFonts w:hint="eastAsia" w:eastAsia="仿宋_GB2312"/>
                        <w:sz w:val="24"/>
                        <w:szCs w:val="24"/>
                        <w:lang w:eastAsia="zh-CN"/>
                      </w:rPr>
                    </w:pPr>
                    <w:r>
                      <w:rPr>
                        <w:rFonts w:hint="eastAsia" w:ascii="宋体" w:hAnsi="宋体" w:eastAsia="宋体"/>
                        <w:sz w:val="28"/>
                        <w:szCs w:val="24"/>
                        <w:lang w:eastAsia="zh-CN"/>
                      </w:rPr>
                      <w:fldChar w:fldCharType="begin"/>
                    </w:r>
                    <w:r>
                      <w:rPr>
                        <w:rFonts w:hint="eastAsia" w:ascii="宋体" w:hAnsi="宋体" w:eastAsia="宋体"/>
                        <w:sz w:val="28"/>
                        <w:szCs w:val="24"/>
                        <w:lang w:eastAsia="zh-CN"/>
                      </w:rPr>
                      <w:instrText xml:space="preserve"> PAGE  \* MERGEFORMAT </w:instrText>
                    </w:r>
                    <w:r>
                      <w:rPr>
                        <w:rFonts w:hint="eastAsia" w:ascii="宋体" w:hAnsi="宋体" w:eastAsia="宋体"/>
                        <w:sz w:val="28"/>
                        <w:szCs w:val="24"/>
                        <w:lang w:eastAsia="zh-CN"/>
                      </w:rPr>
                      <w:fldChar w:fldCharType="separate"/>
                    </w:r>
                    <w:r>
                      <w:rPr>
                        <w:rFonts w:hint="eastAsia" w:ascii="宋体" w:hAnsi="宋体" w:eastAsia="宋体"/>
                        <w:sz w:val="28"/>
                        <w:szCs w:val="24"/>
                        <w:lang w:eastAsia="zh-CN"/>
                      </w:rPr>
                      <w:t>1</w:t>
                    </w:r>
                    <w:r>
                      <w:rPr>
                        <w:rFonts w:hint="eastAsia" w:ascii="宋体" w:hAnsi="宋体" w:eastAsia="宋体"/>
                        <w:sz w:val="28"/>
                        <w:szCs w:val="24"/>
                        <w:lang w:eastAsia="zh-CN"/>
                      </w:rPr>
                      <w:fldChar w:fldCharType="end"/>
                    </w:r>
                  </w:p>
                </w:txbxContent>
              </v:textbox>
            </v:shape>
          </w:pict>
        </mc:Fallback>
      </mc:AlternateContent>
    </w:r>
    <w:r>
      <mc:AlternateContent>
        <mc:Choice Requires="wps">
          <w:drawing>
            <wp:inline distT="0" distB="0" distL="114300" distR="114300">
              <wp:extent cx="5615940" cy="323850"/>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23850"/>
                      </a:xfrm>
                      <a:prstGeom prst="rect">
                        <a:avLst/>
                      </a:prstGeom>
                      <a:noFill/>
                      <a:ln w="9525">
                        <a:noFill/>
                      </a:ln>
                    </wps:spPr>
                    <wps:bodyPr vert="horz" wrap="square" anchor="t" upright="1"/>
                  </wps:wsp>
                </a:graphicData>
              </a:graphic>
            </wp:inline>
          </w:drawing>
        </mc:Choice>
        <mc:Fallback>
          <w:pict>
            <v:rect id="图片 4" o:spid="_x0000_s1026" o:spt="1" style="height:25.5pt;width:442.2pt;" filled="f" stroked="f" coordsize="21600,21600" o:gfxdata="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DhIU7WAAAABAEAAA8AAAAAAAAAAQAgAAAA&#10;IgAAAGRycy9kb3ducmV2LnhtbFBLAQIUABQAAAAIAIdO4kAdBUjo1AEAAJADAAAOAAAAAAAAAAEA&#10;IAAAACUBAABkcnMvZTJvRG9jLnhtbFBLBQYAAAAABgAGAFkBAABrBQ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仿宋_GB2312"/>
                              <w:lang w:eastAsia="zh-CN"/>
                            </w:rPr>
                          </w:pPr>
                          <w:r>
                            <w:rPr>
                              <w:rFonts w:hint="eastAsia" w:ascii="宋体" w:hAnsi="宋体" w:eastAsia="宋体"/>
                              <w:sz w:val="28"/>
                              <w:szCs w:val="24"/>
                              <w:lang w:eastAsia="zh-CN"/>
                            </w:rPr>
                            <w:fldChar w:fldCharType="begin"/>
                          </w:r>
                          <w:r>
                            <w:rPr>
                              <w:rFonts w:hint="eastAsia" w:ascii="宋体" w:hAnsi="宋体" w:eastAsia="宋体"/>
                              <w:sz w:val="28"/>
                              <w:szCs w:val="24"/>
                              <w:lang w:eastAsia="zh-CN"/>
                            </w:rPr>
                            <w:instrText xml:space="preserve"> PAGE  \* MERGEFORMAT </w:instrText>
                          </w:r>
                          <w:r>
                            <w:rPr>
                              <w:rFonts w:hint="eastAsia" w:ascii="宋体" w:hAnsi="宋体" w:eastAsia="宋体"/>
                              <w:sz w:val="28"/>
                              <w:szCs w:val="24"/>
                              <w:lang w:eastAsia="zh-CN"/>
                            </w:rPr>
                            <w:fldChar w:fldCharType="separate"/>
                          </w:r>
                          <w:r>
                            <w:rPr>
                              <w:rFonts w:hint="eastAsia" w:ascii="宋体" w:hAnsi="宋体" w:eastAsia="宋体"/>
                              <w:sz w:val="28"/>
                              <w:szCs w:val="24"/>
                              <w:lang w:eastAsia="zh-CN"/>
                            </w:rPr>
                            <w:t>- 2 -</w:t>
                          </w:r>
                          <w:r>
                            <w:rPr>
                              <w:rFonts w:hint="eastAsia" w:ascii="宋体" w:hAnsi="宋体" w:eastAsia="宋体"/>
                              <w:sz w:val="28"/>
                              <w:szCs w:val="24"/>
                              <w:lang w:eastAsia="zh-CN"/>
                            </w:rPr>
                            <w:fldChar w:fldCharType="end"/>
                          </w:r>
                        </w:p>
                      </w:txbxContent>
                    </wps:txbx>
                    <wps:bodyPr vert="horz" wrap="none" lIns="0" tIns="0" rIns="0" bIns="0" anchor="t"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11bcG4QEAALsDAAAOAAAA&#10;AAAAAAEAIAAAAB4BAABkcnMvZTJvRG9jLnhtbFBLBQYAAAAABgAGAFkBAABxBQAAAAA=&#10;">
              <v:fill on="f" focussize="0,0"/>
              <v:stroke on="f"/>
              <v:imagedata o:title=""/>
              <o:lock v:ext="edit" aspectratio="f"/>
              <v:textbox inset="0mm,0mm,0mm,0mm" style="mso-fit-shape-to-text:t;">
                <w:txbxContent>
                  <w:p>
                    <w:pPr>
                      <w:pStyle w:val="9"/>
                      <w:rPr>
                        <w:rFonts w:hint="eastAsia" w:eastAsia="仿宋_GB2312"/>
                        <w:lang w:eastAsia="zh-CN"/>
                      </w:rPr>
                    </w:pPr>
                    <w:r>
                      <w:rPr>
                        <w:rFonts w:hint="eastAsia" w:ascii="宋体" w:hAnsi="宋体" w:eastAsia="宋体"/>
                        <w:sz w:val="28"/>
                        <w:szCs w:val="24"/>
                        <w:lang w:eastAsia="zh-CN"/>
                      </w:rPr>
                      <w:fldChar w:fldCharType="begin"/>
                    </w:r>
                    <w:r>
                      <w:rPr>
                        <w:rFonts w:hint="eastAsia" w:ascii="宋体" w:hAnsi="宋体" w:eastAsia="宋体"/>
                        <w:sz w:val="28"/>
                        <w:szCs w:val="24"/>
                        <w:lang w:eastAsia="zh-CN"/>
                      </w:rPr>
                      <w:instrText xml:space="preserve"> PAGE  \* MERGEFORMAT </w:instrText>
                    </w:r>
                    <w:r>
                      <w:rPr>
                        <w:rFonts w:hint="eastAsia" w:ascii="宋体" w:hAnsi="宋体" w:eastAsia="宋体"/>
                        <w:sz w:val="28"/>
                        <w:szCs w:val="24"/>
                        <w:lang w:eastAsia="zh-CN"/>
                      </w:rPr>
                      <w:fldChar w:fldCharType="separate"/>
                    </w:r>
                    <w:r>
                      <w:rPr>
                        <w:rFonts w:hint="eastAsia" w:ascii="宋体" w:hAnsi="宋体" w:eastAsia="宋体"/>
                        <w:sz w:val="28"/>
                        <w:szCs w:val="24"/>
                        <w:lang w:eastAsia="zh-CN"/>
                      </w:rPr>
                      <w:t>- 2 -</w:t>
                    </w:r>
                    <w:r>
                      <w:rPr>
                        <w:rFonts w:hint="eastAsia" w:ascii="宋体" w:hAnsi="宋体" w:eastAsia="宋体"/>
                        <w:sz w:val="28"/>
                        <w:szCs w:val="24"/>
                        <w:lang w:eastAsia="zh-CN"/>
                      </w:rPr>
                      <w:fldChar w:fldCharType="end"/>
                    </w:r>
                  </w:p>
                </w:txbxContent>
              </v:textbox>
            </v:shape>
          </w:pict>
        </mc:Fallback>
      </mc:AlternateContent>
    </w:r>
    <w:r>
      <mc:AlternateContent>
        <mc:Choice Requires="wps">
          <w:drawing>
            <wp:inline distT="0" distB="0" distL="114300" distR="114300">
              <wp:extent cx="5615940" cy="323850"/>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323850"/>
                      </a:xfrm>
                      <a:prstGeom prst="rect">
                        <a:avLst/>
                      </a:prstGeom>
                      <a:noFill/>
                      <a:ln w="9525">
                        <a:noFill/>
                      </a:ln>
                    </wps:spPr>
                    <wps:bodyPr vert="horz" wrap="square" anchor="t" upright="1"/>
                  </wps:wsp>
                </a:graphicData>
              </a:graphic>
            </wp:inline>
          </w:drawing>
        </mc:Choice>
        <mc:Fallback>
          <w:pict>
            <v:rect id="图片 3" o:spid="_x0000_s1026" o:spt="1" style="height:25.5pt;width:442.2pt;" filled="f" stroked="f" coordsize="21600,21600" o:gfxdata="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DhIU7WAAAABAEAAA8AAAAAAAAAAQAgAAAA&#10;IgAAAGRycy9kb3ducmV2LnhtbFBLAQIUABQAAAAIAIdO4kAVxQ7W1AEAAJADAAAOAAAAAAAAAAEA&#10;IAAAACUBAABkcnMvZTJvRG9jLnhtbFBLBQYAAAAABgAGAFkBAABrBQ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46" w:lineRule="auto"/>
      </w:pPr>
      <w:r>
        <w:separator/>
      </w:r>
    </w:p>
  </w:footnote>
  <w:footnote w:type="continuationSeparator" w:id="1">
    <w:p>
      <w:pPr>
        <w:spacing w:before="0" w:after="0" w:line="34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615940" cy="97155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w="9525">
                        <a:noFill/>
                      </a:ln>
                    </wps:spPr>
                    <wps:txbx>
                      <w:txbxContent>
                        <w:p>
                          <w:pPr>
                            <w:widowControl w:val="0"/>
                            <w:spacing w:line="272" w:lineRule="atLeast"/>
                            <w:rPr>
                              <w:rFonts w:hint="eastAsia"/>
                            </w:rPr>
                          </w:pPr>
                        </w:p>
                      </w:txbxContent>
                    </wps:txbx>
                    <wps:bodyPr vert="horz" wrap="square" lIns="0" tIns="0" rIns="0" bIns="0" anchor="t" upright="1"/>
                  </wps:wsp>
                </a:graphicData>
              </a:graphic>
            </wp:anchor>
          </w:drawing>
        </mc:Choice>
        <mc:Fallback>
          <w:pict>
            <v:shape id="文本框 2" o:spid="_x0000_s1026" o:spt="202" type="#_x0000_t202" style="position:absolute;left:0pt;margin-left:0pt;margin-top:0pt;height:76.5pt;width:442.2pt;z-index:251661312;mso-width-relative:page;mso-height-relative:page;"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9i4dtUAAAAFAQAADwAAAAAAAAAB&#10;ACAAAAAiAAAAZHJzL2Rvd25yZXYueG1sUEsBAhQAFAAAAAgAh07iQJrc2Q7aAQAAoQMAAA4AAAAA&#10;AAAAAQAgAAAAJAEAAGRycy9lMm9Eb2MueG1sUEsFBgAAAAAGAAYAWQEAAHAFAAAAAA==&#10;">
              <v:fill on="f" focussize="0,0"/>
              <v:stroke on="f"/>
              <v:imagedata o:title=""/>
              <o:lock v:ext="edit" aspectratio="f"/>
              <v:textbox inset="0mm,0mm,0mm,0mm">
                <w:txbxContent>
                  <w:p>
                    <w:pPr>
                      <w:widowControl w:val="0"/>
                      <w:spacing w:line="272" w:lineRule="atLeast"/>
                      <w:rPr>
                        <w:rFonts w:hint="eastAsia"/>
                      </w:rPr>
                    </w:pPr>
                  </w:p>
                </w:txbxContent>
              </v:textbox>
              <w10:anchorlock/>
            </v:shape>
          </w:pict>
        </mc:Fallback>
      </mc:AlternateContent>
    </w:r>
    <w:r>
      <mc:AlternateContent>
        <mc:Choice Requires="wps">
          <w:drawing>
            <wp:inline distT="0" distB="0" distL="114300" distR="114300">
              <wp:extent cx="5615940" cy="971550"/>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971550"/>
                      </a:xfrm>
                      <a:prstGeom prst="rect">
                        <a:avLst/>
                      </a:prstGeom>
                      <a:noFill/>
                      <a:ln w="9525">
                        <a:noFill/>
                      </a:ln>
                    </wps:spPr>
                    <wps:bodyPr vert="horz" wrap="square" anchor="t" upright="1"/>
                  </wps:wsp>
                </a:graphicData>
              </a:graphic>
            </wp:inline>
          </w:drawing>
        </mc:Choice>
        <mc:Fallback>
          <w:pict>
            <v:rect id="图片 2" o:spid="_x0000_s1026" o:spt="1" style="height:76.5pt;width:442.2pt;" filled="f" stroked="f" coordsize="21600,21600" o:gfxdata="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66gTLXAAAABQEAAA8AAAAAAAAAAQAgAAAA&#10;IgAAAGRycy9kb3ducmV2LnhtbFBLAQIUABQAAAAIAIdO4kDN/D1d0wEAAJADAAAOAAAAAAAAAAEA&#10;IAAAACYBAABkcnMvZTJvRG9jLnhtbFBLBQYAAAAABgAGAFkBAABrBQ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615940" cy="971550"/>
              <wp:effectExtent l="0" t="0" r="0" b="0"/>
              <wp:wrapNone/>
              <wp:docPr id="9" name="文本框 1"/>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w="9525">
                        <a:noFill/>
                      </a:ln>
                    </wps:spPr>
                    <wps:txbx>
                      <w:txbxContent>
                        <w:p>
                          <w:pPr>
                            <w:widowControl w:val="0"/>
                            <w:spacing w:line="272" w:lineRule="atLeast"/>
                            <w:rPr>
                              <w:rFonts w:hint="eastAsia"/>
                            </w:rPr>
                          </w:pPr>
                        </w:p>
                      </w:txbxContent>
                    </wps:txbx>
                    <wps:bodyPr vert="horz" wrap="square" lIns="0" tIns="0" rIns="0" bIns="0" anchor="t" upright="1"/>
                  </wps:wsp>
                </a:graphicData>
              </a:graphic>
            </wp:anchor>
          </w:drawing>
        </mc:Choice>
        <mc:Fallback>
          <w:pict>
            <v:shape id="文本框 1" o:spid="_x0000_s1026" o:spt="202" type="#_x0000_t202" style="position:absolute;left:0pt;margin-left:0pt;margin-top:0pt;height:76.5pt;width:442.2pt;z-index:251660288;mso-width-relative:page;mso-height-relative:page;" filled="f" stroked="f" coordsize="21600,21600" o:gfxdata="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2Lh21QAAAAUBAAAPAAAAAAAA&#10;AAEAIAAAACIAAABkcnMvZG93bnJldi54bWxQSwECFAAUAAAACACHTuJAtssA7NwBAACgAwAADgAA&#10;AAAAAAABACAAAAAkAQAAZHJzL2Uyb0RvYy54bWxQSwUGAAAAAAYABgBZAQAAcgUAAAAA&#10;">
              <v:fill on="f" focussize="0,0"/>
              <v:stroke on="f"/>
              <v:imagedata o:title=""/>
              <o:lock v:ext="edit" aspectratio="f"/>
              <v:textbox inset="0mm,0mm,0mm,0mm">
                <w:txbxContent>
                  <w:p>
                    <w:pPr>
                      <w:widowControl w:val="0"/>
                      <w:spacing w:line="272" w:lineRule="atLeast"/>
                      <w:rPr>
                        <w:rFonts w:hint="eastAsia"/>
                      </w:rPr>
                    </w:pPr>
                  </w:p>
                </w:txbxContent>
              </v:textbox>
              <w10:anchorlock/>
            </v:shape>
          </w:pict>
        </mc:Fallback>
      </mc:AlternateContent>
    </w:r>
    <w:r>
      <mc:AlternateContent>
        <mc:Choice Requires="wps">
          <w:drawing>
            <wp:inline distT="0" distB="0" distL="114300" distR="114300">
              <wp:extent cx="5615940" cy="971550"/>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971550"/>
                      </a:xfrm>
                      <a:prstGeom prst="rect">
                        <a:avLst/>
                      </a:prstGeom>
                      <a:noFill/>
                      <a:ln w="9525">
                        <a:noFill/>
                      </a:ln>
                    </wps:spPr>
                    <wps:bodyPr vert="horz" wrap="square" anchor="t" upright="1"/>
                  </wps:wsp>
                </a:graphicData>
              </a:graphic>
            </wp:inline>
          </w:drawing>
        </mc:Choice>
        <mc:Fallback>
          <w:pict>
            <v:rect id="图片 1" o:spid="_x0000_s1026" o:spt="1" style="height:76.5pt;width:442.2pt;" filled="f" stroked="f" coordsize="21600,21600" o:gfxdata="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66gTLXAAAABQEAAA8AAAAAAAAAAQAgAAAA&#10;IgAAAGRycy9kb3ducmV2LnhtbFBLAQIUABQAAAAIAIdO4kAkbs8S0wEAAJADAAAOAAAAAAAAAAEA&#10;IAAAACYBAABkcnMvZTJvRG9jLnhtbFBLBQYAAAAABgAGAFkBAABrBQ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839"/>
  <w:hyphenationZone w:val="360"/>
  <w:evenAndOddHeaders w:val="1"/>
  <w:displayHorizontalDrawingGridEvery w:val="0"/>
  <w:displayVerticalDrawingGridEvery w:val="2"/>
  <w:doNotUseMarginsForDrawingGridOrigin w:val="1"/>
  <w:drawingGridHorizontalOrigin w:val="0"/>
  <w:drawingGridVerticalOrigin w:val="0"/>
  <w:doNotShadeFormData w:val="1"/>
  <w:characterSpacingControl w:val="compressPunctuation"/>
  <w:doNotValidateAgainstSchema/>
  <w:doNotDemarcateInvalidXml/>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ZDMzMGExZTkwYTY1NmZiZDA2ZmUyYzA3M2JhMzAifQ=="/>
  </w:docVars>
  <w:rsids>
    <w:rsidRoot w:val="69350754"/>
    <w:rsid w:val="00990D6F"/>
    <w:rsid w:val="014162F5"/>
    <w:rsid w:val="02BD5916"/>
    <w:rsid w:val="03CC57DE"/>
    <w:rsid w:val="042B47CD"/>
    <w:rsid w:val="0D201465"/>
    <w:rsid w:val="0E6D6D86"/>
    <w:rsid w:val="11553EC9"/>
    <w:rsid w:val="165206FC"/>
    <w:rsid w:val="176A6930"/>
    <w:rsid w:val="1B2FBF61"/>
    <w:rsid w:val="1BEC0FB2"/>
    <w:rsid w:val="1CB93FDA"/>
    <w:rsid w:val="1F929020"/>
    <w:rsid w:val="20095B7E"/>
    <w:rsid w:val="2135103E"/>
    <w:rsid w:val="29237820"/>
    <w:rsid w:val="2CB106B7"/>
    <w:rsid w:val="2D1114CE"/>
    <w:rsid w:val="2DED739C"/>
    <w:rsid w:val="2F9F69AB"/>
    <w:rsid w:val="32317A71"/>
    <w:rsid w:val="3798F4E2"/>
    <w:rsid w:val="3A9C5569"/>
    <w:rsid w:val="3C3F4CFC"/>
    <w:rsid w:val="3F6F976D"/>
    <w:rsid w:val="3F7C9CD4"/>
    <w:rsid w:val="412E6A45"/>
    <w:rsid w:val="4AF71599"/>
    <w:rsid w:val="4B4B27CA"/>
    <w:rsid w:val="4BE550C2"/>
    <w:rsid w:val="4BF76C3F"/>
    <w:rsid w:val="4C3B167F"/>
    <w:rsid w:val="4EFD6B48"/>
    <w:rsid w:val="4FBF0B5C"/>
    <w:rsid w:val="4FDFDE4E"/>
    <w:rsid w:val="501A70AC"/>
    <w:rsid w:val="507B5C77"/>
    <w:rsid w:val="50FF3340"/>
    <w:rsid w:val="532536C7"/>
    <w:rsid w:val="54EF8137"/>
    <w:rsid w:val="57DAB18A"/>
    <w:rsid w:val="580B0848"/>
    <w:rsid w:val="599A6FAA"/>
    <w:rsid w:val="5BABC7F1"/>
    <w:rsid w:val="5DF0A1A3"/>
    <w:rsid w:val="61D81E9E"/>
    <w:rsid w:val="62AA314A"/>
    <w:rsid w:val="64907AF5"/>
    <w:rsid w:val="651B49F0"/>
    <w:rsid w:val="66583F04"/>
    <w:rsid w:val="676EC0CD"/>
    <w:rsid w:val="691B2FCE"/>
    <w:rsid w:val="69350754"/>
    <w:rsid w:val="6BDE4AEE"/>
    <w:rsid w:val="6C7C2F33"/>
    <w:rsid w:val="6D6FB85D"/>
    <w:rsid w:val="72748451"/>
    <w:rsid w:val="77530CD3"/>
    <w:rsid w:val="77EDA38D"/>
    <w:rsid w:val="793373B7"/>
    <w:rsid w:val="79CF2F26"/>
    <w:rsid w:val="7A3E201B"/>
    <w:rsid w:val="7ADE0D34"/>
    <w:rsid w:val="7B377AB6"/>
    <w:rsid w:val="7D3E91B4"/>
    <w:rsid w:val="7DBFAB65"/>
    <w:rsid w:val="7DFF7D74"/>
    <w:rsid w:val="7E6324CB"/>
    <w:rsid w:val="7F5206A7"/>
    <w:rsid w:val="7FDF2A98"/>
    <w:rsid w:val="91F28388"/>
    <w:rsid w:val="ADBFA91D"/>
    <w:rsid w:val="AE2F4B18"/>
    <w:rsid w:val="B4EDF636"/>
    <w:rsid w:val="B6FFB457"/>
    <w:rsid w:val="B77F520A"/>
    <w:rsid w:val="B7ADEE69"/>
    <w:rsid w:val="BADFBDC0"/>
    <w:rsid w:val="BF7D66CD"/>
    <w:rsid w:val="BFFF6271"/>
    <w:rsid w:val="C766CB95"/>
    <w:rsid w:val="CC7FAE0B"/>
    <w:rsid w:val="CFFDA0E8"/>
    <w:rsid w:val="D1FBE593"/>
    <w:rsid w:val="D57B8DEC"/>
    <w:rsid w:val="D9FCF8F8"/>
    <w:rsid w:val="D9FF4FB6"/>
    <w:rsid w:val="DDED9022"/>
    <w:rsid w:val="DDFEA2FD"/>
    <w:rsid w:val="DFBFBD00"/>
    <w:rsid w:val="DFFB05AE"/>
    <w:rsid w:val="DFFBA86F"/>
    <w:rsid w:val="EFF3627F"/>
    <w:rsid w:val="F6FD1A91"/>
    <w:rsid w:val="FBFFFE85"/>
    <w:rsid w:val="FDBBB8B5"/>
    <w:rsid w:val="FDC7AB5F"/>
    <w:rsid w:val="FDCDA27F"/>
    <w:rsid w:val="FEDDF3C9"/>
    <w:rsid w:val="FEDF76D3"/>
    <w:rsid w:val="FF73D57A"/>
    <w:rsid w:val="FFC7AC13"/>
    <w:rsid w:val="FFEF126E"/>
    <w:rsid w:val="FFFA03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Times New Roman"/>
      <w:sz w:val="32"/>
    </w:rPr>
  </w:style>
  <w:style w:type="paragraph" w:styleId="3">
    <w:name w:val="heading 1"/>
    <w:basedOn w:val="1"/>
    <w:next w:val="4"/>
    <w:qFormat/>
    <w:uiPriority w:val="0"/>
    <w:pPr>
      <w:spacing w:before="104" w:beforeLines="0" w:after="104" w:afterLines="0" w:line="0" w:lineRule="atLeast"/>
      <w:ind w:firstLine="0" w:firstLineChars="0"/>
      <w:jc w:val="center"/>
    </w:pPr>
    <w:rPr>
      <w:rFonts w:ascii="Arial" w:hAnsi="Arial" w:eastAsia="黑体"/>
      <w:sz w:val="32"/>
    </w:rPr>
  </w:style>
  <w:style w:type="paragraph" w:styleId="4">
    <w:name w:val="heading 2"/>
    <w:basedOn w:val="1"/>
    <w:next w:val="5"/>
    <w:qFormat/>
    <w:uiPriority w:val="0"/>
    <w:pPr>
      <w:spacing w:line="0" w:lineRule="atLeast"/>
      <w:ind w:firstLine="0" w:firstLineChars="0"/>
      <w:jc w:val="center"/>
    </w:pPr>
    <w:rPr>
      <w:rFonts w:ascii="Times New Roman" w:hAnsi="Times New Roman"/>
      <w:sz w:val="28"/>
    </w:rPr>
  </w:style>
  <w:style w:type="paragraph" w:styleId="5">
    <w:name w:val="heading 3"/>
    <w:basedOn w:val="1"/>
    <w:next w:val="1"/>
    <w:qFormat/>
    <w:uiPriority w:val="0"/>
    <w:pPr>
      <w:spacing w:before="104" w:beforeLines="0" w:after="104" w:afterLines="0"/>
      <w:ind w:firstLine="0" w:firstLineChars="0"/>
    </w:pPr>
    <w:rPr>
      <w:rFonts w:eastAsia="黑体"/>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customStyle="1" w:styleId="2">
    <w:name w:val="正文-公1"/>
    <w:qFormat/>
    <w:uiPriority w:val="0"/>
    <w:pPr>
      <w:widowControl w:val="0"/>
      <w:ind w:firstLine="200" w:firstLineChars="200"/>
      <w:jc w:val="left"/>
    </w:pPr>
    <w:rPr>
      <w:rFonts w:ascii="Times New Roman" w:hAnsi="Times New Roman" w:eastAsia="仿宋_GB2312" w:cs="Times New Roman"/>
      <w:kern w:val="2"/>
      <w:sz w:val="21"/>
      <w:szCs w:val="24"/>
      <w:lang w:val="en-US" w:eastAsia="zh-CN" w:bidi="ar-SA"/>
    </w:rPr>
  </w:style>
  <w:style w:type="paragraph" w:styleId="7">
    <w:name w:val="Normal Indent"/>
    <w:basedOn w:val="1"/>
    <w:qFormat/>
    <w:uiPriority w:val="0"/>
    <w:pPr>
      <w:ind w:firstLine="420" w:firstLineChars="200"/>
    </w:pPr>
  </w:style>
  <w:style w:type="paragraph" w:styleId="8">
    <w:name w:val="toc 3"/>
    <w:basedOn w:val="1"/>
    <w:next w:val="1"/>
    <w:qFormat/>
    <w:uiPriority w:val="0"/>
    <w:pPr>
      <w:spacing w:line="305" w:lineRule="auto"/>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after="104" w:afterLines="0" w:line="0" w:lineRule="atLeast"/>
      <w:ind w:firstLine="0" w:firstLineChars="0"/>
      <w:jc w:val="left"/>
    </w:pPr>
    <w:rPr>
      <w:rFonts w:ascii="Arial" w:hAnsi="Arial" w:eastAsia="黑体"/>
      <w:sz w:val="28"/>
    </w:rPr>
  </w:style>
  <w:style w:type="paragraph" w:styleId="12">
    <w:name w:val="toc 4"/>
    <w:basedOn w:val="1"/>
    <w:next w:val="1"/>
    <w:qFormat/>
    <w:uiPriority w:val="0"/>
    <w:pPr>
      <w:spacing w:line="305" w:lineRule="auto"/>
      <w:ind w:firstLine="629" w:firstLineChars="0"/>
    </w:pPr>
  </w:style>
  <w:style w:type="paragraph" w:styleId="13">
    <w:name w:val="Body Text Indent 3"/>
    <w:basedOn w:val="1"/>
    <w:qFormat/>
    <w:uiPriority w:val="0"/>
    <w:pPr>
      <w:widowControl w:val="0"/>
      <w:spacing w:after="120"/>
      <w:ind w:left="420" w:leftChars="200"/>
      <w:jc w:val="both"/>
    </w:pPr>
    <w:rPr>
      <w:rFonts w:ascii="Times New Roman" w:cs="Times New Roman"/>
      <w:color w:val="auto"/>
      <w:kern w:val="2"/>
      <w:sz w:val="16"/>
      <w:szCs w:val="16"/>
    </w:rPr>
  </w:style>
  <w:style w:type="paragraph" w:styleId="14">
    <w:name w:val="toc 2"/>
    <w:basedOn w:val="1"/>
    <w:next w:val="1"/>
    <w:qFormat/>
    <w:uiPriority w:val="0"/>
    <w:pPr>
      <w:spacing w:line="305" w:lineRule="auto"/>
      <w:ind w:firstLine="209" w:firstLineChars="0"/>
    </w:p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Title"/>
    <w:basedOn w:val="1"/>
    <w:next w:val="17"/>
    <w:qFormat/>
    <w:uiPriority w:val="0"/>
    <w:pPr>
      <w:spacing w:before="209" w:beforeLines="0" w:after="209" w:afterLines="0" w:line="0" w:lineRule="atLeast"/>
      <w:ind w:firstLine="0" w:firstLineChars="0"/>
      <w:jc w:val="center"/>
    </w:pPr>
    <w:rPr>
      <w:rFonts w:ascii="Arial" w:hAnsi="Arial" w:eastAsia="黑体"/>
      <w:sz w:val="52"/>
    </w:rPr>
  </w:style>
  <w:style w:type="paragraph" w:customStyle="1" w:styleId="17">
    <w:name w:val="文章附标题"/>
    <w:basedOn w:val="1"/>
    <w:next w:val="3"/>
    <w:qFormat/>
    <w:uiPriority w:val="0"/>
    <w:pPr>
      <w:spacing w:before="104" w:beforeLines="0" w:after="104" w:afterLines="0" w:line="0" w:lineRule="atLeast"/>
      <w:ind w:firstLine="0" w:firstLineChars="0"/>
      <w:jc w:val="center"/>
    </w:pPr>
    <w:rPr>
      <w:sz w:val="36"/>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paragraph" w:customStyle="1" w:styleId="23">
    <w:name w:val="WPS Plain"/>
    <w:qFormat/>
    <w:uiPriority w:val="0"/>
    <w:rPr>
      <w:rFonts w:ascii="Times New Roman" w:hAnsi="Times New Roman" w:eastAsia="宋体" w:cs="Times New Roman"/>
    </w:rPr>
  </w:style>
  <w:style w:type="paragraph" w:customStyle="1" w:styleId="24">
    <w:name w:val="目录标题"/>
    <w:basedOn w:val="1"/>
    <w:next w:val="1"/>
    <w:qFormat/>
    <w:uiPriority w:val="0"/>
    <w:pPr>
      <w:spacing w:before="209" w:beforeLines="0" w:after="209" w:afterLines="0" w:line="0" w:lineRule="atLeast"/>
      <w:jc w:val="center"/>
    </w:pPr>
    <w:rPr>
      <w:rFonts w:ascii="Arial" w:hAnsi="Arial" w:eastAsia="黑体"/>
      <w:spacing w:val="209"/>
      <w:sz w:val="52"/>
    </w:rPr>
  </w:style>
  <w:style w:type="character" w:customStyle="1" w:styleId="25">
    <w:name w:val="链接"/>
    <w:basedOn w:val="20"/>
    <w:qFormat/>
    <w:uiPriority w:val="0"/>
    <w:rPr>
      <w:color w:val="0000FF"/>
      <w:u w:val="single" w:color="0000FF"/>
    </w:rPr>
  </w:style>
  <w:style w:type="character" w:customStyle="1" w:styleId="26">
    <w:name w:val="超级链接"/>
    <w:basedOn w:val="20"/>
    <w:qFormat/>
    <w:uiPriority w:val="0"/>
    <w:rPr>
      <w:color w:val="0000FF"/>
      <w:u w:val="single" w:color="0000FF"/>
    </w:rPr>
  </w:style>
  <w:style w:type="paragraph" w:customStyle="1" w:styleId="27">
    <w:name w:val="Normal"/>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xxc\C:\home\gxxc\C:\Users\Administrator\Desktop\2020&#21457;&#25991;&#27169;&#26495;\----&#27827;&#25945;&#25253;%5b2020%5d%20&#21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----河教报[2020] 号.wpt</Template>
  <Pages>1</Pages>
  <Words>41</Words>
  <Characters>44</Characters>
  <Lines>0</Lines>
  <Paragraphs>0</Paragraphs>
  <TotalTime>2</TotalTime>
  <ScaleCrop>false</ScaleCrop>
  <LinksUpToDate>false</LinksUpToDate>
  <CharactersWithSpaces>135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2020-06-13T01:57:00Z</dcterms:created>
  <dc:creator>Administrator</dc:creator>
  <cp:lastModifiedBy>无语</cp:lastModifiedBy>
  <cp:lastPrinted>2023-01-20T18:55:00Z</cp:lastPrinted>
  <dcterms:modified xsi:type="dcterms:W3CDTF">2023-12-20T08:18:43Z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3FACF42CD667473F9727B2ECAACB296C</vt:lpwstr>
  </property>
</Properties>
</file>